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FD4CB">
      <w:pPr>
        <w:rPr>
          <w:rFonts w:ascii="方正黑体_GBK" w:eastAsia="方正黑体_GBK"/>
          <w:bCs/>
          <w:color w:val="auto"/>
          <w:sz w:val="32"/>
          <w:szCs w:val="32"/>
        </w:rPr>
      </w:pPr>
      <w:r>
        <w:rPr>
          <w:rFonts w:hint="eastAsia" w:ascii="方正黑体_GBK" w:eastAsia="方正黑体_GBK"/>
          <w:bCs/>
          <w:color w:val="auto"/>
          <w:sz w:val="32"/>
          <w:szCs w:val="32"/>
        </w:rPr>
        <w:t>附件</w:t>
      </w:r>
      <w:r>
        <w:rPr>
          <w:rFonts w:ascii="方正黑体_GBK" w:eastAsia="方正黑体_GBK"/>
          <w:bCs/>
          <w:color w:val="auto"/>
          <w:sz w:val="32"/>
          <w:szCs w:val="32"/>
        </w:rPr>
        <w:t>1</w:t>
      </w:r>
    </w:p>
    <w:p w14:paraId="65649121">
      <w:pPr>
        <w:snapToGrid w:val="0"/>
        <w:jc w:val="center"/>
        <w:rPr>
          <w:rFonts w:ascii="Times New Roman" w:hAnsi="Times New Roman" w:eastAsia="方正小标宋_GBK" w:cs="Times New Roman"/>
          <w:color w:val="auto"/>
          <w:sz w:val="44"/>
        </w:rPr>
      </w:pPr>
      <w:r>
        <w:rPr>
          <w:rFonts w:ascii="Times New Roman" w:hAnsi="Times New Roman" w:eastAsia="方正小标宋_GBK" w:cs="Times New Roman"/>
          <w:color w:val="auto"/>
          <w:sz w:val="44"/>
        </w:rPr>
        <w:t>202</w:t>
      </w:r>
      <w:r>
        <w:rPr>
          <w:rFonts w:hint="eastAsia" w:ascii="Times New Roman" w:hAnsi="Times New Roman" w:eastAsia="方正小标宋_GBK" w:cs="Times New Roman"/>
          <w:color w:val="auto"/>
          <w:sz w:val="44"/>
          <w:lang w:val="en-US" w:eastAsia="zh-CN"/>
        </w:rPr>
        <w:t>5</w:t>
      </w:r>
      <w:r>
        <w:rPr>
          <w:rFonts w:ascii="Times New Roman" w:hAnsi="Times New Roman" w:eastAsia="方正小标宋_GBK" w:cs="Times New Roman"/>
          <w:color w:val="auto"/>
          <w:sz w:val="44"/>
        </w:rPr>
        <w:t>年度重庆市自然科学基金创新发展联合基金</w:t>
      </w:r>
    </w:p>
    <w:p w14:paraId="4D918C1E">
      <w:pPr>
        <w:snapToGrid w:val="0"/>
        <w:jc w:val="center"/>
        <w:rPr>
          <w:rFonts w:ascii="Times New Roman" w:hAnsi="Times New Roman" w:eastAsia="方正楷体_GBK" w:cs="Times New Roman"/>
          <w:color w:val="auto"/>
          <w:sz w:val="32"/>
          <w:szCs w:val="32"/>
        </w:rPr>
      </w:pPr>
      <w:r>
        <w:rPr>
          <w:rFonts w:ascii="Times New Roman" w:hAnsi="Times New Roman" w:eastAsia="方正小标宋_GBK" w:cs="Times New Roman"/>
          <w:color w:val="auto"/>
          <w:sz w:val="44"/>
        </w:rPr>
        <w:t>（</w:t>
      </w:r>
      <w:r>
        <w:rPr>
          <w:rFonts w:hint="eastAsia" w:ascii="Times New Roman" w:hAnsi="Times New Roman" w:eastAsia="方正小标宋_GBK" w:cs="Times New Roman"/>
          <w:color w:val="auto"/>
          <w:sz w:val="44"/>
          <w:lang w:val="en-US" w:eastAsia="zh-CN"/>
        </w:rPr>
        <w:t>星网应用</w:t>
      </w:r>
      <w:r>
        <w:rPr>
          <w:rFonts w:ascii="Times New Roman" w:hAnsi="Times New Roman" w:eastAsia="方正小标宋_GBK" w:cs="Times New Roman"/>
          <w:color w:val="auto"/>
          <w:sz w:val="44"/>
        </w:rPr>
        <w:t>）项目</w:t>
      </w:r>
      <w:r>
        <w:rPr>
          <w:rFonts w:hint="eastAsia" w:ascii="Times New Roman" w:hAnsi="Times New Roman" w:eastAsia="方正小标宋_GBK" w:cs="Times New Roman"/>
          <w:color w:val="auto"/>
          <w:sz w:val="44"/>
        </w:rPr>
        <w:t>申报</w:t>
      </w:r>
      <w:r>
        <w:rPr>
          <w:rFonts w:ascii="Times New Roman" w:hAnsi="Times New Roman" w:eastAsia="方正小标宋_GBK" w:cs="Times New Roman"/>
          <w:color w:val="auto"/>
          <w:sz w:val="44"/>
        </w:rPr>
        <w:t>指南</w:t>
      </w:r>
      <w:r>
        <w:rPr>
          <w:rFonts w:hint="eastAsia" w:ascii="方正小标宋_GBK" w:hAnsi="方正小标宋_GBK" w:eastAsia="方正小标宋_GBK" w:cs="方正小标宋_GBK"/>
          <w:color w:val="auto"/>
          <w:sz w:val="44"/>
          <w:szCs w:val="44"/>
        </w:rPr>
        <w:t>（</w:t>
      </w:r>
      <w:r>
        <w:rPr>
          <w:rFonts w:hint="eastAsia" w:ascii="方正小标宋_GBK" w:hAnsi="方正小标宋_GBK" w:eastAsia="方正小标宋_GBK" w:cs="方正小标宋_GBK"/>
          <w:color w:val="auto"/>
          <w:sz w:val="44"/>
          <w:szCs w:val="44"/>
          <w:lang w:val="en-US" w:eastAsia="zh-CN"/>
        </w:rPr>
        <w:t>9条</w:t>
      </w:r>
      <w:r>
        <w:rPr>
          <w:rFonts w:hint="eastAsia" w:ascii="方正小标宋_GBK" w:hAnsi="方正小标宋_GBK" w:eastAsia="方正小标宋_GBK" w:cs="方正小标宋_GBK"/>
          <w:color w:val="auto"/>
          <w:sz w:val="44"/>
          <w:szCs w:val="44"/>
        </w:rPr>
        <w:t>）</w:t>
      </w:r>
      <w:bookmarkStart w:id="0" w:name="_GoBack"/>
      <w:bookmarkEnd w:id="0"/>
    </w:p>
    <w:tbl>
      <w:tblPr>
        <w:tblStyle w:val="5"/>
        <w:tblW w:w="50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850"/>
        <w:gridCol w:w="983"/>
        <w:gridCol w:w="4400"/>
        <w:gridCol w:w="5083"/>
        <w:gridCol w:w="1467"/>
        <w:gridCol w:w="790"/>
      </w:tblGrid>
      <w:tr w14:paraId="1CAA2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01593228">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黑体_GBK" w:cs="Times New Roman"/>
                <w:b/>
                <w:bCs/>
                <w:color w:val="auto"/>
                <w:kern w:val="0"/>
                <w:sz w:val="28"/>
                <w:szCs w:val="28"/>
                <w:lang w:eastAsia="zh-CN"/>
              </w:rPr>
            </w:pPr>
            <w:r>
              <w:rPr>
                <w:rFonts w:hint="eastAsia" w:ascii="Times New Roman" w:hAnsi="Times New Roman" w:eastAsia="方正黑体_GBK" w:cs="Times New Roman"/>
                <w:b/>
                <w:bCs/>
                <w:color w:val="auto"/>
                <w:kern w:val="0"/>
                <w:sz w:val="28"/>
                <w:szCs w:val="28"/>
                <w:lang w:val="en-US" w:eastAsia="zh-CN"/>
              </w:rPr>
              <w:t>编号</w:t>
            </w:r>
          </w:p>
        </w:tc>
        <w:tc>
          <w:tcPr>
            <w:tcW w:w="294" w:type="pct"/>
            <w:tcBorders>
              <w:top w:val="single" w:color="auto" w:sz="4" w:space="0"/>
              <w:left w:val="single" w:color="auto" w:sz="4" w:space="0"/>
              <w:bottom w:val="single" w:color="auto" w:sz="4" w:space="0"/>
              <w:right w:val="single" w:color="auto" w:sz="4" w:space="0"/>
            </w:tcBorders>
            <w:vAlign w:val="center"/>
          </w:tcPr>
          <w:p w14:paraId="4AB03588">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ascii="Times New Roman" w:hAnsi="Times New Roman" w:eastAsia="方正黑体_GBK" w:cs="Times New Roman"/>
                <w:b/>
                <w:bCs/>
                <w:color w:val="auto"/>
                <w:kern w:val="0"/>
                <w:sz w:val="28"/>
                <w:szCs w:val="28"/>
              </w:rPr>
            </w:pPr>
            <w:r>
              <w:rPr>
                <w:rFonts w:hint="eastAsia" w:ascii="Times New Roman" w:hAnsi="Times New Roman" w:eastAsia="方正黑体_GBK" w:cs="Times New Roman"/>
                <w:b/>
                <w:bCs/>
                <w:color w:val="auto"/>
                <w:kern w:val="0"/>
                <w:sz w:val="28"/>
                <w:szCs w:val="28"/>
              </w:rPr>
              <w:t>类别</w:t>
            </w:r>
          </w:p>
        </w:tc>
        <w:tc>
          <w:tcPr>
            <w:tcW w:w="340" w:type="pct"/>
            <w:tcBorders>
              <w:top w:val="single" w:color="auto" w:sz="4" w:space="0"/>
              <w:left w:val="single" w:color="auto" w:sz="4" w:space="0"/>
              <w:bottom w:val="single" w:color="auto" w:sz="4" w:space="0"/>
              <w:right w:val="single" w:color="auto" w:sz="4" w:space="0"/>
            </w:tcBorders>
            <w:vAlign w:val="center"/>
          </w:tcPr>
          <w:p w14:paraId="5C6A50B6">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ascii="Times New Roman" w:hAnsi="Times New Roman" w:eastAsia="方正黑体_GBK" w:cs="Times New Roman"/>
                <w:b/>
                <w:bCs/>
                <w:color w:val="auto"/>
                <w:kern w:val="0"/>
                <w:sz w:val="28"/>
                <w:szCs w:val="28"/>
              </w:rPr>
            </w:pPr>
            <w:r>
              <w:rPr>
                <w:rFonts w:ascii="Times New Roman" w:hAnsi="Times New Roman" w:eastAsia="方正黑体_GBK" w:cs="Times New Roman"/>
                <w:b/>
                <w:bCs/>
                <w:color w:val="auto"/>
                <w:kern w:val="0"/>
                <w:sz w:val="28"/>
                <w:szCs w:val="28"/>
              </w:rPr>
              <w:t>指南</w:t>
            </w:r>
          </w:p>
          <w:p w14:paraId="7B450A9A">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ascii="Times New Roman" w:hAnsi="Times New Roman" w:eastAsia="方正黑体_GBK" w:cs="Times New Roman"/>
                <w:b/>
                <w:bCs/>
                <w:color w:val="auto"/>
                <w:kern w:val="0"/>
                <w:sz w:val="28"/>
                <w:szCs w:val="28"/>
              </w:rPr>
            </w:pPr>
            <w:r>
              <w:rPr>
                <w:rFonts w:ascii="Times New Roman" w:hAnsi="Times New Roman" w:eastAsia="方正黑体_GBK" w:cs="Times New Roman"/>
                <w:b/>
                <w:bCs/>
                <w:color w:val="auto"/>
                <w:kern w:val="0"/>
                <w:sz w:val="28"/>
                <w:szCs w:val="28"/>
              </w:rPr>
              <w:t>名称</w:t>
            </w:r>
          </w:p>
        </w:tc>
        <w:tc>
          <w:tcPr>
            <w:tcW w:w="1526" w:type="pct"/>
            <w:tcBorders>
              <w:top w:val="single" w:color="auto" w:sz="4" w:space="0"/>
              <w:left w:val="single" w:color="auto" w:sz="4" w:space="0"/>
              <w:bottom w:val="single" w:color="auto" w:sz="4" w:space="0"/>
              <w:right w:val="single" w:color="auto" w:sz="4" w:space="0"/>
            </w:tcBorders>
            <w:vAlign w:val="center"/>
          </w:tcPr>
          <w:p w14:paraId="00A3B95B">
            <w:pPr>
              <w:keepNext w:val="0"/>
              <w:keepLines w:val="0"/>
              <w:pageBreakBefore w:val="0"/>
              <w:kinsoku/>
              <w:wordWrap/>
              <w:overflowPunct/>
              <w:topLinePunct w:val="0"/>
              <w:autoSpaceDE/>
              <w:autoSpaceDN/>
              <w:bidi w:val="0"/>
              <w:adjustRightInd/>
              <w:snapToGrid w:val="0"/>
              <w:spacing w:line="360" w:lineRule="exact"/>
              <w:jc w:val="center"/>
              <w:textAlignment w:val="auto"/>
              <w:rPr>
                <w:rFonts w:ascii="Times New Roman" w:hAnsi="Times New Roman" w:eastAsia="方正黑体_GBK" w:cs="Times New Roman"/>
                <w:b/>
                <w:bCs/>
                <w:color w:val="auto"/>
                <w:kern w:val="0"/>
                <w:sz w:val="28"/>
                <w:szCs w:val="28"/>
              </w:rPr>
            </w:pPr>
            <w:r>
              <w:rPr>
                <w:rFonts w:ascii="Times New Roman" w:hAnsi="Times New Roman" w:eastAsia="方正黑体_GBK" w:cs="Times New Roman"/>
                <w:b/>
                <w:bCs/>
                <w:color w:val="auto"/>
                <w:kern w:val="0"/>
                <w:sz w:val="28"/>
                <w:szCs w:val="28"/>
              </w:rPr>
              <w:t>指南内容</w:t>
            </w:r>
          </w:p>
        </w:tc>
        <w:tc>
          <w:tcPr>
            <w:tcW w:w="1763" w:type="pct"/>
            <w:tcBorders>
              <w:top w:val="single" w:color="auto" w:sz="4" w:space="0"/>
              <w:left w:val="single" w:color="auto" w:sz="4" w:space="0"/>
              <w:bottom w:val="single" w:color="auto" w:sz="4" w:space="0"/>
              <w:right w:val="single" w:color="auto" w:sz="4" w:space="0"/>
            </w:tcBorders>
            <w:vAlign w:val="center"/>
          </w:tcPr>
          <w:p w14:paraId="43BB5D40">
            <w:pPr>
              <w:keepNext w:val="0"/>
              <w:keepLines w:val="0"/>
              <w:pageBreakBefore w:val="0"/>
              <w:kinsoku/>
              <w:wordWrap/>
              <w:overflowPunct/>
              <w:topLinePunct w:val="0"/>
              <w:autoSpaceDE/>
              <w:autoSpaceDN/>
              <w:bidi w:val="0"/>
              <w:adjustRightInd/>
              <w:snapToGrid w:val="0"/>
              <w:spacing w:line="360" w:lineRule="exact"/>
              <w:jc w:val="center"/>
              <w:textAlignment w:val="auto"/>
              <w:rPr>
                <w:rFonts w:hint="default" w:ascii="Times New Roman" w:hAnsi="Times New Roman" w:eastAsia="方正黑体_GBK" w:cs="Times New Roman"/>
                <w:b/>
                <w:bCs/>
                <w:color w:val="auto"/>
                <w:kern w:val="0"/>
                <w:sz w:val="28"/>
                <w:szCs w:val="28"/>
                <w:lang w:val="en-US" w:eastAsia="zh-CN"/>
              </w:rPr>
            </w:pPr>
            <w:r>
              <w:rPr>
                <w:rFonts w:hint="eastAsia" w:ascii="Times New Roman" w:hAnsi="Times New Roman" w:eastAsia="方正黑体_GBK" w:cs="Times New Roman"/>
                <w:b/>
                <w:bCs/>
                <w:color w:val="auto"/>
                <w:kern w:val="0"/>
                <w:sz w:val="28"/>
                <w:szCs w:val="28"/>
                <w:lang w:val="en-US" w:eastAsia="zh-CN"/>
              </w:rPr>
              <w:t>预期研究成果</w:t>
            </w:r>
          </w:p>
        </w:tc>
        <w:tc>
          <w:tcPr>
            <w:tcW w:w="508" w:type="pct"/>
            <w:tcBorders>
              <w:top w:val="single" w:color="auto" w:sz="4" w:space="0"/>
              <w:left w:val="single" w:color="auto" w:sz="4" w:space="0"/>
              <w:bottom w:val="single" w:color="auto" w:sz="4" w:space="0"/>
              <w:right w:val="single" w:color="auto" w:sz="4" w:space="0"/>
            </w:tcBorders>
            <w:vAlign w:val="center"/>
          </w:tcPr>
          <w:p w14:paraId="491877A9">
            <w:pPr>
              <w:keepNext w:val="0"/>
              <w:keepLines w:val="0"/>
              <w:pageBreakBefore w:val="0"/>
              <w:kinsoku/>
              <w:wordWrap/>
              <w:overflowPunct/>
              <w:topLinePunct w:val="0"/>
              <w:autoSpaceDE/>
              <w:autoSpaceDN/>
              <w:bidi w:val="0"/>
              <w:adjustRightInd/>
              <w:snapToGrid w:val="0"/>
              <w:spacing w:line="360" w:lineRule="exact"/>
              <w:jc w:val="center"/>
              <w:textAlignment w:val="auto"/>
              <w:rPr>
                <w:rFonts w:hint="default" w:ascii="Times New Roman" w:hAnsi="Times New Roman" w:eastAsia="方正黑体_GBK" w:cs="Times New Roman"/>
                <w:b/>
                <w:bCs/>
                <w:color w:val="auto"/>
                <w:kern w:val="0"/>
                <w:sz w:val="28"/>
                <w:szCs w:val="28"/>
                <w:lang w:val="en-US" w:eastAsia="zh-CN"/>
              </w:rPr>
            </w:pPr>
            <w:r>
              <w:rPr>
                <w:rFonts w:hint="eastAsia" w:ascii="Times New Roman" w:hAnsi="Times New Roman" w:eastAsia="方正黑体_GBK" w:cs="Times New Roman"/>
                <w:b/>
                <w:bCs/>
                <w:color w:val="auto"/>
                <w:kern w:val="0"/>
                <w:sz w:val="28"/>
                <w:szCs w:val="28"/>
              </w:rPr>
              <w:t>资助强度</w:t>
            </w:r>
            <w:r>
              <w:rPr>
                <w:rFonts w:hint="eastAsia" w:ascii="Times New Roman" w:hAnsi="Times New Roman" w:eastAsia="方正黑体_GBK" w:cs="Times New Roman"/>
                <w:b/>
                <w:bCs/>
                <w:color w:val="auto"/>
                <w:kern w:val="0"/>
                <w:sz w:val="28"/>
                <w:szCs w:val="28"/>
                <w:lang w:val="en-US" w:eastAsia="zh-CN"/>
              </w:rPr>
              <w:t>(万元)</w:t>
            </w:r>
          </w:p>
        </w:tc>
        <w:tc>
          <w:tcPr>
            <w:tcW w:w="274" w:type="pct"/>
            <w:tcBorders>
              <w:top w:val="single" w:color="auto" w:sz="4" w:space="0"/>
              <w:left w:val="single" w:color="auto" w:sz="4" w:space="0"/>
              <w:bottom w:val="single" w:color="auto" w:sz="4" w:space="0"/>
              <w:right w:val="single" w:color="auto" w:sz="4" w:space="0"/>
            </w:tcBorders>
            <w:vAlign w:val="center"/>
          </w:tcPr>
          <w:p w14:paraId="0E093F9A">
            <w:pPr>
              <w:keepNext w:val="0"/>
              <w:keepLines w:val="0"/>
              <w:pageBreakBefore w:val="0"/>
              <w:kinsoku/>
              <w:wordWrap/>
              <w:overflowPunct/>
              <w:topLinePunct w:val="0"/>
              <w:autoSpaceDE/>
              <w:autoSpaceDN/>
              <w:bidi w:val="0"/>
              <w:adjustRightInd/>
              <w:snapToGrid w:val="0"/>
              <w:spacing w:line="360" w:lineRule="exact"/>
              <w:jc w:val="center"/>
              <w:textAlignment w:val="auto"/>
              <w:rPr>
                <w:rFonts w:ascii="Times New Roman" w:hAnsi="Times New Roman" w:eastAsia="方正黑体_GBK" w:cs="Times New Roman"/>
                <w:b/>
                <w:bCs/>
                <w:color w:val="auto"/>
                <w:kern w:val="0"/>
                <w:sz w:val="28"/>
                <w:szCs w:val="28"/>
              </w:rPr>
            </w:pPr>
            <w:r>
              <w:rPr>
                <w:rFonts w:hint="eastAsia" w:ascii="Times New Roman" w:hAnsi="Times New Roman" w:eastAsia="方正黑体_GBK" w:cs="Times New Roman"/>
                <w:b/>
                <w:bCs/>
                <w:color w:val="auto"/>
                <w:kern w:val="0"/>
                <w:sz w:val="28"/>
                <w:szCs w:val="28"/>
              </w:rPr>
              <w:t>项目</w:t>
            </w:r>
            <w:r>
              <w:rPr>
                <w:rFonts w:ascii="Times New Roman" w:hAnsi="Times New Roman" w:eastAsia="方正黑体_GBK" w:cs="Times New Roman"/>
                <w:b/>
                <w:bCs/>
                <w:color w:val="auto"/>
                <w:kern w:val="0"/>
                <w:sz w:val="28"/>
                <w:szCs w:val="28"/>
              </w:rPr>
              <w:t>周期</w:t>
            </w:r>
          </w:p>
        </w:tc>
      </w:tr>
      <w:tr w14:paraId="639F6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23A2C882">
            <w:pPr>
              <w:keepNext w:val="0"/>
              <w:keepLines w:val="0"/>
              <w:pageBreakBefore w:val="0"/>
              <w:widowControl/>
              <w:numPr>
                <w:ilvl w:val="0"/>
                <w:numId w:val="0"/>
              </w:numPr>
              <w:tabs>
                <w:tab w:val="left" w:pos="0"/>
              </w:tabs>
              <w:kinsoku/>
              <w:wordWrap/>
              <w:overflowPunct/>
              <w:topLinePunct w:val="0"/>
              <w:autoSpaceDE/>
              <w:autoSpaceDN/>
              <w:bidi w:val="0"/>
              <w:adjustRightInd/>
              <w:snapToGrid w:val="0"/>
              <w:spacing w:line="360" w:lineRule="exact"/>
              <w:ind w:leftChars="0"/>
              <w:jc w:val="center"/>
              <w:textAlignment w:val="auto"/>
              <w:rPr>
                <w:rFonts w:hint="eastAsia" w:ascii="方正仿宋_GBK" w:hAnsi="方正仿宋_GBK" w:eastAsia="方正仿宋_GBK" w:cs="方正仿宋_GBK"/>
                <w:color w:val="auto"/>
                <w:kern w:val="0"/>
                <w:sz w:val="24"/>
                <w:szCs w:val="24"/>
                <w:lang w:eastAsia="zh-CN"/>
              </w:rPr>
            </w:pPr>
            <w:r>
              <w:rPr>
                <w:rFonts w:hint="eastAsia" w:ascii="方正仿宋_GBK" w:hAnsi="方正仿宋_GBK" w:eastAsia="方正仿宋_GBK" w:cs="方正仿宋_GBK"/>
                <w:color w:val="auto"/>
                <w:kern w:val="0"/>
                <w:sz w:val="24"/>
                <w:szCs w:val="24"/>
                <w:lang w:val="en-US" w:eastAsia="zh-CN"/>
              </w:rPr>
              <w:t>1</w:t>
            </w:r>
          </w:p>
        </w:tc>
        <w:tc>
          <w:tcPr>
            <w:tcW w:w="294" w:type="pct"/>
            <w:tcBorders>
              <w:top w:val="single" w:color="auto" w:sz="4" w:space="0"/>
              <w:left w:val="single" w:color="auto" w:sz="4" w:space="0"/>
              <w:bottom w:val="single" w:color="auto" w:sz="4" w:space="0"/>
              <w:right w:val="single" w:color="auto" w:sz="4" w:space="0"/>
            </w:tcBorders>
            <w:vAlign w:val="center"/>
          </w:tcPr>
          <w:p w14:paraId="41309694">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ascii="Times New Roman" w:hAnsi="Times New Roman" w:eastAsia="方正仿宋_GBK"/>
                <w:color w:val="auto"/>
                <w:sz w:val="24"/>
                <w:szCs w:val="24"/>
                <w:highlight w:val="yellow"/>
              </w:rPr>
            </w:pPr>
            <w:r>
              <w:rPr>
                <w:rFonts w:hint="eastAsia" w:ascii="Times New Roman" w:hAnsi="Times New Roman" w:eastAsia="方正仿宋_GBK"/>
                <w:color w:val="auto"/>
                <w:sz w:val="24"/>
                <w:szCs w:val="24"/>
                <w:highlight w:val="none"/>
              </w:rPr>
              <w:t>重点项目</w:t>
            </w:r>
          </w:p>
        </w:tc>
        <w:tc>
          <w:tcPr>
            <w:tcW w:w="340" w:type="pct"/>
            <w:tcBorders>
              <w:top w:val="single" w:color="auto" w:sz="4" w:space="0"/>
              <w:left w:val="single" w:color="auto" w:sz="4" w:space="0"/>
              <w:bottom w:val="single" w:color="auto" w:sz="4" w:space="0"/>
              <w:right w:val="single" w:color="auto" w:sz="4" w:space="0"/>
            </w:tcBorders>
            <w:vAlign w:val="center"/>
          </w:tcPr>
          <w:p w14:paraId="63C14D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面向低轨星座的信道测量与建模技术研究</w:t>
            </w:r>
          </w:p>
        </w:tc>
        <w:tc>
          <w:tcPr>
            <w:tcW w:w="1526" w:type="pct"/>
            <w:tcBorders>
              <w:top w:val="single" w:color="auto" w:sz="4" w:space="0"/>
              <w:left w:val="single" w:color="auto" w:sz="4" w:space="0"/>
              <w:bottom w:val="single" w:color="auto" w:sz="4" w:space="0"/>
              <w:right w:val="single" w:color="auto" w:sz="4" w:space="0"/>
            </w:tcBorders>
            <w:vAlign w:val="center"/>
          </w:tcPr>
          <w:p w14:paraId="5FA32A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Times New Roman" w:hAnsi="Times New Roman" w:eastAsia="方正仿宋_GBK"/>
                <w:color w:val="auto"/>
                <w:sz w:val="24"/>
                <w:szCs w:val="24"/>
                <w:highlight w:val="none"/>
                <w:lang w:val="en-US" w:eastAsia="zh-CN"/>
              </w:rPr>
            </w:pPr>
            <w:r>
              <w:rPr>
                <w:rFonts w:hint="eastAsia" w:ascii="Times New Roman" w:hAnsi="Times New Roman" w:eastAsia="方正仿宋_GBK"/>
                <w:color w:val="auto"/>
                <w:sz w:val="24"/>
                <w:szCs w:val="24"/>
                <w:highlight w:val="none"/>
                <w:lang w:val="en-US" w:eastAsia="zh-CN"/>
              </w:rPr>
              <w:t>针对现有3GPP NTN信道模型适用性不足及缺乏星地在轨数据实测拟合的问题，开展低轨星座星地传输特征测量与信道建模研究。研究基于星网星座的信道特征测量方法，对L或S频段和Ka频段的信道特征进行识别、测量和提取，设计并实现信道测量系统，应用验证场景不少于2种（城区、植被覆盖区等）；构建L或S频段信道模型和Ka频段信道模型，提出信道模型准确度评估方法并进行验证，时延扩展等信道特征与实测均值准确度不低于80%，解决基于星网星座传输特征测量和提取难题，支撑卫星互联网体制创新与测试验证。</w:t>
            </w:r>
          </w:p>
        </w:tc>
        <w:tc>
          <w:tcPr>
            <w:tcW w:w="1763" w:type="pct"/>
            <w:tcBorders>
              <w:top w:val="single" w:color="auto" w:sz="4" w:space="0"/>
              <w:left w:val="single" w:color="auto" w:sz="4" w:space="0"/>
              <w:bottom w:val="single" w:color="auto" w:sz="4" w:space="0"/>
              <w:right w:val="single" w:color="auto" w:sz="4" w:space="0"/>
            </w:tcBorders>
            <w:vAlign w:val="center"/>
          </w:tcPr>
          <w:p w14:paraId="1A40D3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Times New Roman" w:hAnsi="Times New Roman" w:eastAsia="方正仿宋_GBK"/>
                <w:color w:val="auto"/>
                <w:sz w:val="24"/>
                <w:szCs w:val="24"/>
                <w:highlight w:val="none"/>
                <w:lang w:val="en-US" w:eastAsia="zh-CN"/>
              </w:rPr>
            </w:pPr>
            <w:r>
              <w:rPr>
                <w:rFonts w:hint="eastAsia" w:ascii="Times New Roman" w:hAnsi="Times New Roman" w:eastAsia="方正仿宋_GBK"/>
                <w:color w:val="auto"/>
                <w:sz w:val="24"/>
                <w:szCs w:val="24"/>
                <w:highlight w:val="none"/>
                <w:lang w:val="en-US" w:eastAsia="zh-CN"/>
              </w:rPr>
              <w:t>1.提交基于星网卫星信号的信道测量与建模方案1套，支持3GPP标准定义的TDL、CDL信道模型构建；</w:t>
            </w:r>
            <w:r>
              <w:rPr>
                <w:rFonts w:hint="eastAsia" w:ascii="Times New Roman" w:hAnsi="Times New Roman" w:eastAsia="方正仿宋_GBK"/>
                <w:color w:val="auto"/>
                <w:sz w:val="24"/>
                <w:szCs w:val="24"/>
                <w:highlight w:val="none"/>
                <w:lang w:val="en-US" w:eastAsia="zh-CN"/>
              </w:rPr>
              <w:br w:type="textWrapping"/>
            </w:r>
            <w:r>
              <w:rPr>
                <w:rFonts w:hint="eastAsia" w:ascii="Times New Roman" w:hAnsi="Times New Roman" w:eastAsia="方正仿宋_GBK"/>
                <w:color w:val="auto"/>
                <w:sz w:val="24"/>
                <w:szCs w:val="24"/>
                <w:highlight w:val="none"/>
                <w:lang w:val="en-US" w:eastAsia="zh-CN"/>
              </w:rPr>
              <w:t>2.提交信道特征参数提取的算法及验证代码(源码)1套，</w:t>
            </w:r>
            <w:r>
              <w:rPr>
                <w:rFonts w:hint="eastAsia" w:ascii="Times New Roman" w:hAnsi="Times New Roman" w:eastAsia="方正仿宋_GBK"/>
                <w:color w:val="auto"/>
                <w:spacing w:val="-20"/>
                <w:sz w:val="24"/>
                <w:szCs w:val="24"/>
                <w:highlight w:val="none"/>
                <w:lang w:val="en-US" w:eastAsia="zh-CN"/>
              </w:rPr>
              <w:t>支持阴影衰落、多径时延、多径功率、时延扩展、多普勒频移、方位角等模型参数的提取；</w:t>
            </w:r>
            <w:r>
              <w:rPr>
                <w:rFonts w:hint="eastAsia" w:ascii="Times New Roman" w:hAnsi="Times New Roman" w:eastAsia="方正仿宋_GBK"/>
                <w:color w:val="auto"/>
                <w:sz w:val="24"/>
                <w:szCs w:val="24"/>
                <w:highlight w:val="none"/>
                <w:lang w:val="en-US" w:eastAsia="zh-CN"/>
              </w:rPr>
              <w:br w:type="textWrapping"/>
            </w:r>
            <w:r>
              <w:rPr>
                <w:rFonts w:hint="eastAsia" w:ascii="Times New Roman" w:hAnsi="Times New Roman" w:eastAsia="方正仿宋_GBK"/>
                <w:color w:val="auto"/>
                <w:sz w:val="24"/>
                <w:szCs w:val="24"/>
                <w:highlight w:val="none"/>
                <w:lang w:val="en-US" w:eastAsia="zh-CN"/>
              </w:rPr>
              <w:t>3.提交星地信道模拟系统1套，支持通过LAN接口接受其他软件平台的软件控制；</w:t>
            </w:r>
            <w:r>
              <w:rPr>
                <w:rFonts w:hint="eastAsia" w:ascii="Times New Roman" w:hAnsi="Times New Roman" w:eastAsia="方正仿宋_GBK"/>
                <w:color w:val="auto"/>
                <w:sz w:val="24"/>
                <w:szCs w:val="24"/>
                <w:highlight w:val="none"/>
                <w:lang w:val="en-US" w:eastAsia="zh-CN"/>
              </w:rPr>
              <w:br w:type="textWrapping"/>
            </w:r>
            <w:r>
              <w:rPr>
                <w:rFonts w:hint="eastAsia" w:ascii="Times New Roman" w:hAnsi="Times New Roman" w:eastAsia="方正仿宋_GBK"/>
                <w:color w:val="auto"/>
                <w:sz w:val="24"/>
                <w:szCs w:val="24"/>
                <w:highlight w:val="none"/>
                <w:lang w:val="en-US" w:eastAsia="zh-CN"/>
              </w:rPr>
              <w:t>4.提交符合3GPP标准定义的TDL、CDL星地信道仿真模型（源码）1套，至少包括S频段2种仿真模型、Ka频段2种仿真模型；</w:t>
            </w:r>
            <w:r>
              <w:rPr>
                <w:rFonts w:hint="eastAsia" w:ascii="Times New Roman" w:hAnsi="Times New Roman" w:eastAsia="方正仿宋_GBK"/>
                <w:color w:val="auto"/>
                <w:sz w:val="24"/>
                <w:szCs w:val="24"/>
                <w:highlight w:val="none"/>
                <w:lang w:val="en-US" w:eastAsia="zh-CN"/>
              </w:rPr>
              <w:br w:type="textWrapping"/>
            </w:r>
            <w:r>
              <w:rPr>
                <w:rFonts w:hint="eastAsia" w:ascii="Times New Roman" w:hAnsi="Times New Roman" w:eastAsia="方正仿宋_GBK"/>
                <w:color w:val="auto"/>
                <w:sz w:val="24"/>
                <w:szCs w:val="24"/>
                <w:highlight w:val="none"/>
                <w:lang w:val="en-US" w:eastAsia="zh-CN"/>
              </w:rPr>
              <w:t>5.提交L或S频段，及Ka频段分别至少1种基于实测拟合的TDL或CDL星地信道模型（源码）1套；</w:t>
            </w:r>
            <w:r>
              <w:rPr>
                <w:rFonts w:hint="eastAsia" w:ascii="Times New Roman" w:hAnsi="Times New Roman" w:eastAsia="方正仿宋_GBK"/>
                <w:color w:val="auto"/>
                <w:sz w:val="24"/>
                <w:szCs w:val="24"/>
                <w:highlight w:val="none"/>
                <w:lang w:val="en-US" w:eastAsia="zh-CN"/>
              </w:rPr>
              <w:br w:type="textWrapping"/>
            </w:r>
            <w:r>
              <w:rPr>
                <w:rFonts w:hint="eastAsia" w:ascii="Times New Roman" w:hAnsi="Times New Roman" w:eastAsia="方正仿宋_GBK"/>
                <w:color w:val="auto"/>
                <w:sz w:val="24"/>
                <w:szCs w:val="24"/>
                <w:highlight w:val="none"/>
                <w:lang w:val="en-US" w:eastAsia="zh-CN"/>
              </w:rPr>
              <w:t>6.受理或授权发明专利1项。</w:t>
            </w:r>
          </w:p>
        </w:tc>
        <w:tc>
          <w:tcPr>
            <w:tcW w:w="508" w:type="pct"/>
            <w:tcBorders>
              <w:top w:val="single" w:color="auto" w:sz="4" w:space="0"/>
              <w:left w:val="single" w:color="auto" w:sz="4" w:space="0"/>
              <w:bottom w:val="single" w:color="auto" w:sz="4" w:space="0"/>
              <w:right w:val="single" w:color="auto" w:sz="4" w:space="0"/>
            </w:tcBorders>
            <w:vAlign w:val="center"/>
          </w:tcPr>
          <w:p w14:paraId="62E0C4CA">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default" w:ascii="Times New Roman" w:hAnsi="Times New Roman" w:eastAsia="方正仿宋_GBK"/>
                <w:color w:val="auto"/>
                <w:sz w:val="24"/>
                <w:szCs w:val="24"/>
                <w:highlight w:val="none"/>
                <w:lang w:val="en-US"/>
              </w:rPr>
            </w:pPr>
            <w:r>
              <w:rPr>
                <w:rFonts w:hint="eastAsia" w:ascii="Times New Roman" w:hAnsi="Times New Roman" w:eastAsia="方正仿宋_GBK"/>
                <w:color w:val="auto"/>
                <w:sz w:val="24"/>
                <w:szCs w:val="24"/>
                <w:highlight w:val="none"/>
                <w:lang w:val="en-US" w:eastAsia="zh-CN"/>
              </w:rPr>
              <w:t>150</w:t>
            </w:r>
          </w:p>
        </w:tc>
        <w:tc>
          <w:tcPr>
            <w:tcW w:w="274" w:type="pct"/>
            <w:tcBorders>
              <w:top w:val="single" w:color="auto" w:sz="4" w:space="0"/>
              <w:left w:val="single" w:color="auto" w:sz="4" w:space="0"/>
              <w:bottom w:val="single" w:color="auto" w:sz="4" w:space="0"/>
              <w:right w:val="single" w:color="auto" w:sz="4" w:space="0"/>
            </w:tcBorders>
            <w:vAlign w:val="center"/>
          </w:tcPr>
          <w:p w14:paraId="3AB0E99F">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≤12个月</w:t>
            </w:r>
          </w:p>
        </w:tc>
      </w:tr>
      <w:tr w14:paraId="289F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0"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0BC261D1">
            <w:pPr>
              <w:keepNext w:val="0"/>
              <w:keepLines w:val="0"/>
              <w:pageBreakBefore w:val="0"/>
              <w:widowControl/>
              <w:numPr>
                <w:ilvl w:val="0"/>
                <w:numId w:val="0"/>
              </w:numPr>
              <w:tabs>
                <w:tab w:val="left" w:pos="0"/>
              </w:tabs>
              <w:kinsoku/>
              <w:wordWrap/>
              <w:overflowPunct/>
              <w:topLinePunct w:val="0"/>
              <w:autoSpaceDE/>
              <w:autoSpaceDN/>
              <w:bidi w:val="0"/>
              <w:adjustRightInd/>
              <w:snapToGrid w:val="0"/>
              <w:spacing w:line="360" w:lineRule="exact"/>
              <w:ind w:leftChars="0"/>
              <w:jc w:val="center"/>
              <w:textAlignment w:val="auto"/>
              <w:rPr>
                <w:rFonts w:hint="eastAsia" w:ascii="Times New Roman" w:hAnsi="Times New Roman" w:eastAsia="方正仿宋_GBK" w:cs="Times New Roman"/>
                <w:color w:val="auto"/>
                <w:kern w:val="0"/>
                <w:sz w:val="28"/>
                <w:szCs w:val="28"/>
                <w:lang w:eastAsia="zh-CN"/>
              </w:rPr>
            </w:pPr>
            <w:r>
              <w:rPr>
                <w:rFonts w:hint="eastAsia" w:ascii="方正仿宋_GBK" w:hAnsi="方正仿宋_GBK" w:eastAsia="方正仿宋_GBK" w:cs="方正仿宋_GBK"/>
                <w:color w:val="auto"/>
                <w:kern w:val="0"/>
                <w:sz w:val="24"/>
                <w:szCs w:val="24"/>
                <w:lang w:val="en-US" w:eastAsia="zh-CN"/>
              </w:rPr>
              <w:t>2</w:t>
            </w:r>
          </w:p>
        </w:tc>
        <w:tc>
          <w:tcPr>
            <w:tcW w:w="294" w:type="pct"/>
            <w:tcBorders>
              <w:top w:val="single" w:color="auto" w:sz="4" w:space="0"/>
              <w:left w:val="single" w:color="auto" w:sz="4" w:space="0"/>
              <w:bottom w:val="single" w:color="auto" w:sz="4" w:space="0"/>
              <w:right w:val="single" w:color="auto" w:sz="4" w:space="0"/>
            </w:tcBorders>
            <w:vAlign w:val="center"/>
          </w:tcPr>
          <w:p w14:paraId="2FFE9279">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yellow"/>
              </w:rPr>
            </w:pPr>
            <w:r>
              <w:rPr>
                <w:rFonts w:hint="eastAsia" w:ascii="Times New Roman" w:hAnsi="Times New Roman" w:eastAsia="方正仿宋_GBK"/>
                <w:color w:val="auto"/>
                <w:sz w:val="24"/>
                <w:szCs w:val="24"/>
                <w:highlight w:val="none"/>
              </w:rPr>
              <w:t>重点项目</w:t>
            </w:r>
          </w:p>
        </w:tc>
        <w:tc>
          <w:tcPr>
            <w:tcW w:w="340" w:type="pct"/>
            <w:tcBorders>
              <w:top w:val="single" w:color="auto" w:sz="4" w:space="0"/>
              <w:left w:val="single" w:color="auto" w:sz="4" w:space="0"/>
              <w:bottom w:val="single" w:color="auto" w:sz="4" w:space="0"/>
              <w:right w:val="single" w:color="auto" w:sz="4" w:space="0"/>
            </w:tcBorders>
            <w:vAlign w:val="center"/>
          </w:tcPr>
          <w:p w14:paraId="3EE394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面向NB-IoT的低轨卫星网络语音服务关键技术研究</w:t>
            </w:r>
          </w:p>
        </w:tc>
        <w:tc>
          <w:tcPr>
            <w:tcW w:w="1526" w:type="pct"/>
            <w:tcBorders>
              <w:top w:val="single" w:color="auto" w:sz="4" w:space="0"/>
              <w:left w:val="single" w:color="auto" w:sz="4" w:space="0"/>
              <w:bottom w:val="single" w:color="auto" w:sz="4" w:space="0"/>
              <w:right w:val="single" w:color="auto" w:sz="4" w:space="0"/>
            </w:tcBorders>
            <w:vAlign w:val="center"/>
          </w:tcPr>
          <w:p w14:paraId="0BB6590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lang w:val="en-US" w:eastAsia="zh-CN"/>
              </w:rPr>
            </w:pPr>
            <w:r>
              <w:rPr>
                <w:rFonts w:hint="eastAsia" w:ascii="方正仿宋_GBK" w:hAnsi="方正仿宋_GBK" w:eastAsia="方正仿宋_GBK" w:cs="方正仿宋_GBK"/>
                <w:i w:val="0"/>
                <w:iCs w:val="0"/>
                <w:color w:val="000000"/>
                <w:kern w:val="0"/>
                <w:sz w:val="24"/>
                <w:szCs w:val="24"/>
                <w:u w:val="none"/>
                <w:lang w:val="en-US" w:eastAsia="zh-CN" w:bidi="ar"/>
              </w:rPr>
              <w:t>针对传统卫星语音通信的不足，基于3GPP NTN架构，分析NB-IoT语音业务特性与资源耦合关系，构建面向低轨卫星的NB-IoT语音业务网络。开展面向NB-IoT语音QoS保障算法研究，设计再生模式转发接入信令；研究语音动态承载切换方案及信令；参考高轨语音服务体制，研究低速率语音编解码适配；研究针对低轨卫星高速移动特性的RRC连接重配置和切换策略，设计跨星无缝切换和智能移动性管理机制，提出低轨卫星接入网附着和位置更新流程；分析信令的传输时效性与网络调度时延，研究终端语音编码适配策略，提升NB-IoT语音业务服务质量，增强低轨卫星接入能力。</w:t>
            </w:r>
          </w:p>
        </w:tc>
        <w:tc>
          <w:tcPr>
            <w:tcW w:w="1763" w:type="pct"/>
            <w:tcBorders>
              <w:top w:val="single" w:color="auto" w:sz="4" w:space="0"/>
              <w:left w:val="single" w:color="auto" w:sz="4" w:space="0"/>
              <w:bottom w:val="single" w:color="auto" w:sz="4" w:space="0"/>
              <w:right w:val="single" w:color="auto" w:sz="4" w:space="0"/>
            </w:tcBorders>
            <w:vAlign w:val="center"/>
          </w:tcPr>
          <w:p w14:paraId="781BE1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lang w:val="en-US" w:eastAsia="zh-CN"/>
              </w:rPr>
            </w:pPr>
            <w:r>
              <w:rPr>
                <w:rFonts w:hint="eastAsia" w:ascii="方正仿宋_GBK" w:hAnsi="方正仿宋_GBK" w:eastAsia="方正仿宋_GBK" w:cs="方正仿宋_GBK"/>
                <w:i w:val="0"/>
                <w:iCs w:val="0"/>
                <w:color w:val="000000"/>
                <w:kern w:val="0"/>
                <w:sz w:val="24"/>
                <w:szCs w:val="24"/>
                <w:u w:val="none"/>
                <w:lang w:val="en-US" w:eastAsia="zh-CN" w:bidi="ar"/>
              </w:rPr>
              <w:t>1.提交仿真验证平台1套，至少支持广播信道、下行共享信道、下行控制信道、随机接入信道、上行共享信道、上行控制信道，并提供仿真验证平台源码；</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2.提交多路端到端的星地验证系统1套，验证系统中基带核心芯片（协议栈和物理层芯片）需国产化；</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3.提交针对语音编码适配、信令改进、QoS优化和移动性管理机制等关键技术研究报告不少于3份；</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4.受理或授权发明专利不少于12项；</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5.录用或发表高水平论文不少于5篇。</w:t>
            </w:r>
          </w:p>
        </w:tc>
        <w:tc>
          <w:tcPr>
            <w:tcW w:w="508" w:type="pct"/>
            <w:tcBorders>
              <w:top w:val="single" w:color="auto" w:sz="4" w:space="0"/>
              <w:left w:val="single" w:color="auto" w:sz="4" w:space="0"/>
              <w:bottom w:val="single" w:color="auto" w:sz="4" w:space="0"/>
              <w:right w:val="single" w:color="auto" w:sz="4" w:space="0"/>
            </w:tcBorders>
            <w:vAlign w:val="center"/>
          </w:tcPr>
          <w:p w14:paraId="74E97C2A">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default" w:ascii="Times New Roman" w:hAnsi="Times New Roman" w:eastAsia="方正仿宋_GBK"/>
                <w:color w:val="auto"/>
                <w:sz w:val="24"/>
                <w:szCs w:val="24"/>
                <w:highlight w:val="none"/>
                <w:lang w:val="en-US"/>
              </w:rPr>
            </w:pPr>
            <w:r>
              <w:rPr>
                <w:rFonts w:hint="eastAsia" w:ascii="Times New Roman" w:hAnsi="Times New Roman" w:eastAsia="方正仿宋_GBK"/>
                <w:color w:val="auto"/>
                <w:sz w:val="24"/>
                <w:szCs w:val="24"/>
                <w:highlight w:val="none"/>
                <w:lang w:val="en-US" w:eastAsia="zh-CN"/>
              </w:rPr>
              <w:t>150</w:t>
            </w:r>
          </w:p>
        </w:tc>
        <w:tc>
          <w:tcPr>
            <w:tcW w:w="274" w:type="pct"/>
            <w:tcBorders>
              <w:top w:val="single" w:color="auto" w:sz="4" w:space="0"/>
              <w:left w:val="single" w:color="auto" w:sz="4" w:space="0"/>
              <w:bottom w:val="single" w:color="auto" w:sz="4" w:space="0"/>
              <w:right w:val="single" w:color="auto" w:sz="4" w:space="0"/>
            </w:tcBorders>
            <w:vAlign w:val="center"/>
          </w:tcPr>
          <w:p w14:paraId="6C37145F">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≤24个月</w:t>
            </w:r>
          </w:p>
        </w:tc>
      </w:tr>
      <w:tr w14:paraId="3CE2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7"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091C3354">
            <w:pPr>
              <w:keepNext w:val="0"/>
              <w:keepLines w:val="0"/>
              <w:pageBreakBefore w:val="0"/>
              <w:widowControl/>
              <w:numPr>
                <w:ilvl w:val="0"/>
                <w:numId w:val="0"/>
              </w:numPr>
              <w:tabs>
                <w:tab w:val="left" w:pos="0"/>
              </w:tabs>
              <w:kinsoku/>
              <w:wordWrap/>
              <w:overflowPunct/>
              <w:topLinePunct w:val="0"/>
              <w:autoSpaceDE/>
              <w:autoSpaceDN/>
              <w:bidi w:val="0"/>
              <w:adjustRightInd/>
              <w:snapToGrid w:val="0"/>
              <w:spacing w:line="360" w:lineRule="exact"/>
              <w:ind w:leftChars="0"/>
              <w:jc w:val="center"/>
              <w:textAlignment w:val="auto"/>
              <w:rPr>
                <w:rFonts w:hint="eastAsia" w:ascii="方正仿宋_GBK" w:hAnsi="方正仿宋_GBK" w:eastAsia="方正仿宋_GBK" w:cs="方正仿宋_GBK"/>
                <w:color w:val="auto"/>
                <w:kern w:val="0"/>
                <w:sz w:val="28"/>
                <w:szCs w:val="28"/>
                <w:lang w:eastAsia="zh-CN"/>
              </w:rPr>
            </w:pPr>
            <w:r>
              <w:rPr>
                <w:rFonts w:hint="eastAsia" w:ascii="方正仿宋_GBK" w:hAnsi="方正仿宋_GBK" w:eastAsia="方正仿宋_GBK" w:cs="方正仿宋_GBK"/>
                <w:color w:val="auto"/>
                <w:kern w:val="0"/>
                <w:sz w:val="24"/>
                <w:szCs w:val="24"/>
                <w:lang w:val="en-US" w:eastAsia="zh-CN"/>
              </w:rPr>
              <w:t>3</w:t>
            </w:r>
          </w:p>
        </w:tc>
        <w:tc>
          <w:tcPr>
            <w:tcW w:w="294" w:type="pct"/>
            <w:tcBorders>
              <w:top w:val="single" w:color="auto" w:sz="4" w:space="0"/>
              <w:left w:val="single" w:color="auto" w:sz="4" w:space="0"/>
              <w:bottom w:val="single" w:color="auto" w:sz="4" w:space="0"/>
              <w:right w:val="single" w:color="auto" w:sz="4" w:space="0"/>
            </w:tcBorders>
            <w:vAlign w:val="center"/>
          </w:tcPr>
          <w:p w14:paraId="5F93BD7F">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yellow"/>
              </w:rPr>
            </w:pPr>
            <w:r>
              <w:rPr>
                <w:rFonts w:hint="eastAsia" w:ascii="Times New Roman" w:hAnsi="Times New Roman" w:eastAsia="方正仿宋_GBK"/>
                <w:color w:val="auto"/>
                <w:sz w:val="24"/>
                <w:szCs w:val="24"/>
                <w:highlight w:val="none"/>
              </w:rPr>
              <w:t>重点项目</w:t>
            </w:r>
          </w:p>
        </w:tc>
        <w:tc>
          <w:tcPr>
            <w:tcW w:w="340" w:type="pct"/>
            <w:tcBorders>
              <w:top w:val="single" w:color="auto" w:sz="4" w:space="0"/>
              <w:left w:val="single" w:color="auto" w:sz="4" w:space="0"/>
              <w:bottom w:val="single" w:color="auto" w:sz="4" w:space="0"/>
              <w:right w:val="single" w:color="auto" w:sz="4" w:space="0"/>
            </w:tcBorders>
            <w:vAlign w:val="center"/>
          </w:tcPr>
          <w:p w14:paraId="6F460E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面向卫星互联网的终端链路测量与切换关键技术研究</w:t>
            </w:r>
          </w:p>
        </w:tc>
        <w:tc>
          <w:tcPr>
            <w:tcW w:w="1526" w:type="pct"/>
            <w:tcBorders>
              <w:top w:val="single" w:color="auto" w:sz="4" w:space="0"/>
              <w:left w:val="single" w:color="auto" w:sz="4" w:space="0"/>
              <w:bottom w:val="single" w:color="auto" w:sz="4" w:space="0"/>
              <w:right w:val="single" w:color="auto" w:sz="4" w:space="0"/>
            </w:tcBorders>
            <w:vAlign w:val="center"/>
          </w:tcPr>
          <w:p w14:paraId="4D22DB0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针对卫星互联网系统终端能耗过高的问题，基于卫星星历、地理位置与终端特征，构建多源信息驱动的链路特征模型，融合信息统计时变特性，获取链路状态动态演化过程；研究感知调度协同的链路估计算法，自适应调控终端测量周期、反馈频率、预测时长等参数，降低终端功耗；研究异频多波束场景下的高效调度优化算法，减少测量和接入开销；研究跨体制高低轨的高效选择算法，减少星地、高低轨之间的信息交换，提升切换时延性能。搭建星地链路全流程的系统仿真平台，集成终端功耗模型、链路特征模型，对提出算法进行验证。</w:t>
            </w:r>
          </w:p>
        </w:tc>
        <w:tc>
          <w:tcPr>
            <w:tcW w:w="1763" w:type="pct"/>
            <w:tcBorders>
              <w:top w:val="single" w:color="auto" w:sz="4" w:space="0"/>
              <w:left w:val="single" w:color="auto" w:sz="4" w:space="0"/>
              <w:bottom w:val="single" w:color="auto" w:sz="4" w:space="0"/>
              <w:right w:val="single" w:color="auto" w:sz="4" w:space="0"/>
            </w:tcBorders>
            <w:vAlign w:val="center"/>
          </w:tcPr>
          <w:p w14:paraId="7A1516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1.相较于固定参数的链路测量方案，通过链路预测的自适应参数调节，CQI误检率不大于0.05，单位bit能效比提升20%；</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2.在保证系统总吞吐量（±5%）、用户平均速率（±5%）的前提下，对比全测量调度算法，通过链路预测实现信令开销降低10%；</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3.高低轨卫星切换时相较于3GPP TS 38.300中的切换流程时延减少20%，星地星间控制信息交互量降低20%；</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4.提交星地通信链路信道估计与预测算法技术报告1份；</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5.提交星地通信系统仿真验证平台1套；</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6.提交低轨卫星互联网异频多波束切换调度技术研究和验证报告1份；</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7.提交多轨道星地系统高低轨选择技术研究和验证报告1份；</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8.受理或授权专利不少于2项。</w:t>
            </w:r>
          </w:p>
        </w:tc>
        <w:tc>
          <w:tcPr>
            <w:tcW w:w="508" w:type="pct"/>
            <w:tcBorders>
              <w:top w:val="single" w:color="auto" w:sz="4" w:space="0"/>
              <w:left w:val="single" w:color="auto" w:sz="4" w:space="0"/>
              <w:bottom w:val="single" w:color="auto" w:sz="4" w:space="0"/>
              <w:right w:val="single" w:color="auto" w:sz="4" w:space="0"/>
            </w:tcBorders>
            <w:vAlign w:val="center"/>
          </w:tcPr>
          <w:p w14:paraId="7DF97257">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100</w:t>
            </w:r>
          </w:p>
        </w:tc>
        <w:tc>
          <w:tcPr>
            <w:tcW w:w="274" w:type="pct"/>
            <w:tcBorders>
              <w:top w:val="single" w:color="auto" w:sz="4" w:space="0"/>
              <w:left w:val="single" w:color="auto" w:sz="4" w:space="0"/>
              <w:bottom w:val="single" w:color="auto" w:sz="4" w:space="0"/>
              <w:right w:val="single" w:color="auto" w:sz="4" w:space="0"/>
            </w:tcBorders>
            <w:vAlign w:val="center"/>
          </w:tcPr>
          <w:p w14:paraId="73C8E762">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≤12个月</w:t>
            </w:r>
          </w:p>
        </w:tc>
      </w:tr>
      <w:tr w14:paraId="35A4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0C97563D">
            <w:pPr>
              <w:keepNext w:val="0"/>
              <w:keepLines w:val="0"/>
              <w:pageBreakBefore w:val="0"/>
              <w:widowControl/>
              <w:numPr>
                <w:ilvl w:val="0"/>
                <w:numId w:val="0"/>
              </w:numPr>
              <w:tabs>
                <w:tab w:val="left" w:pos="0"/>
              </w:tabs>
              <w:kinsoku/>
              <w:wordWrap/>
              <w:overflowPunct/>
              <w:topLinePunct w:val="0"/>
              <w:autoSpaceDE/>
              <w:autoSpaceDN/>
              <w:bidi w:val="0"/>
              <w:adjustRightInd/>
              <w:snapToGrid w:val="0"/>
              <w:spacing w:line="360" w:lineRule="exact"/>
              <w:ind w:leftChars="0"/>
              <w:jc w:val="center"/>
              <w:textAlignment w:val="auto"/>
              <w:rPr>
                <w:rFonts w:hint="eastAsia" w:ascii="Times New Roman" w:hAnsi="Times New Roman" w:eastAsia="方正仿宋_GBK" w:cs="Times New Roman"/>
                <w:color w:val="auto"/>
                <w:kern w:val="0"/>
                <w:sz w:val="28"/>
                <w:szCs w:val="28"/>
                <w:lang w:eastAsia="zh-CN"/>
              </w:rPr>
            </w:pPr>
            <w:r>
              <w:rPr>
                <w:rFonts w:hint="eastAsia" w:ascii="方正仿宋_GBK" w:hAnsi="方正仿宋_GBK" w:eastAsia="方正仿宋_GBK" w:cs="方正仿宋_GBK"/>
                <w:color w:val="auto"/>
                <w:kern w:val="0"/>
                <w:sz w:val="24"/>
                <w:szCs w:val="24"/>
                <w:lang w:val="en-US" w:eastAsia="zh-CN"/>
              </w:rPr>
              <w:t>4</w:t>
            </w:r>
          </w:p>
        </w:tc>
        <w:tc>
          <w:tcPr>
            <w:tcW w:w="294" w:type="pct"/>
            <w:tcBorders>
              <w:top w:val="single" w:color="auto" w:sz="4" w:space="0"/>
              <w:left w:val="single" w:color="auto" w:sz="4" w:space="0"/>
              <w:bottom w:val="single" w:color="auto" w:sz="4" w:space="0"/>
              <w:right w:val="single" w:color="auto" w:sz="4" w:space="0"/>
            </w:tcBorders>
            <w:vAlign w:val="center"/>
          </w:tcPr>
          <w:p w14:paraId="094B67DC">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yellow"/>
              </w:rPr>
            </w:pPr>
            <w:r>
              <w:rPr>
                <w:rFonts w:hint="eastAsia" w:ascii="Times New Roman" w:hAnsi="Times New Roman" w:eastAsia="方正仿宋_GBK"/>
                <w:color w:val="auto"/>
                <w:sz w:val="24"/>
                <w:szCs w:val="24"/>
                <w:highlight w:val="none"/>
              </w:rPr>
              <w:t>重点项目</w:t>
            </w:r>
          </w:p>
        </w:tc>
        <w:tc>
          <w:tcPr>
            <w:tcW w:w="340" w:type="pct"/>
            <w:tcBorders>
              <w:top w:val="single" w:color="auto" w:sz="4" w:space="0"/>
              <w:left w:val="single" w:color="auto" w:sz="4" w:space="0"/>
              <w:bottom w:val="single" w:color="auto" w:sz="4" w:space="0"/>
              <w:right w:val="single" w:color="auto" w:sz="4" w:space="0"/>
            </w:tcBorders>
            <w:vAlign w:val="center"/>
          </w:tcPr>
          <w:p w14:paraId="4E6368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Ka共口径相控阵天线关键技术研究</w:t>
            </w:r>
          </w:p>
        </w:tc>
        <w:tc>
          <w:tcPr>
            <w:tcW w:w="1526" w:type="pct"/>
            <w:tcBorders>
              <w:top w:val="single" w:color="auto" w:sz="4" w:space="0"/>
              <w:left w:val="single" w:color="auto" w:sz="4" w:space="0"/>
              <w:bottom w:val="single" w:color="auto" w:sz="4" w:space="0"/>
              <w:right w:val="single" w:color="auto" w:sz="4" w:space="0"/>
            </w:tcBorders>
            <w:vAlign w:val="center"/>
          </w:tcPr>
          <w:p w14:paraId="4898A1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立足低轨卫星通信对Ka天线小型化低成本的应用需求，面向下一代卫星互联网系统，开展相控阵天线收发单元的融合共口径或单元结构复用/共用设计，实现Ka相控阵天线的小型化轻重量设计，具备全双工或半双工通信能力，解决共口径天线隔离度差、扫描增益下降、大角度扫描恶化的性能问题，融合结构PCB层数增加、整机剖面高度变大、整机成本增加的工程问题以及共口径天线的散热问题。完成工程样机研制与在轨通信测试，形成测试报告；研究共口径天线的整机低成本技术，形成低成本专题技术设计报告和低成本经济可行性分析报告，支撑低成本规模化工程应用。</w:t>
            </w:r>
          </w:p>
        </w:tc>
        <w:tc>
          <w:tcPr>
            <w:tcW w:w="1763" w:type="pct"/>
            <w:tcBorders>
              <w:top w:val="single" w:color="auto" w:sz="4" w:space="0"/>
              <w:left w:val="single" w:color="auto" w:sz="4" w:space="0"/>
              <w:bottom w:val="single" w:color="auto" w:sz="4" w:space="0"/>
              <w:right w:val="single" w:color="auto" w:sz="4" w:space="0"/>
            </w:tcBorders>
            <w:vAlign w:val="center"/>
          </w:tcPr>
          <w:p w14:paraId="3B5086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1.提交基于Ka天线的全/半双工收发共口径的样机1套，满足上行27.5GHz～30.0GHz，下行17.3GHz～20.2GHz；EIRP：45dBW@法向（P-1状态下）、40dBW@60°（考虑回退后）；G/T：5dB/K@法向，G/T=0dB/K@60°。均包含天线罩损耗；整机峰值功耗不超过300W，整机尺寸包络不超过380*300*100mm，整机重量不超过7kg（含天线罩与整机结构、散热等全部硬件配件）；</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2.提交详细方案设计报告1份（含天线单元、天线子阵级仿真模型、收发通道隔离度仿真结果，含硬件BOM清单与PCB板投图纸）；</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3.提交相控阵天线全/半双工条件下的电性能测试报告1份；</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4.提交项目研究总结报告1份；</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5.提交基于Ka收发共口径的低成本化技术路线专题研究报告1份（涵盖系统架构、天线与射频通道、天线板设计与TR芯片在内的整体技术路线方案、详细技术论证、天线单元与子阵模型及仿真结果、天线板设计图纸），具备工程化应用能力；</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6.受理或授权发明专利2项。</w:t>
            </w:r>
          </w:p>
        </w:tc>
        <w:tc>
          <w:tcPr>
            <w:tcW w:w="508" w:type="pct"/>
            <w:tcBorders>
              <w:top w:val="single" w:color="auto" w:sz="4" w:space="0"/>
              <w:left w:val="single" w:color="auto" w:sz="4" w:space="0"/>
              <w:bottom w:val="single" w:color="auto" w:sz="4" w:space="0"/>
              <w:right w:val="single" w:color="auto" w:sz="4" w:space="0"/>
            </w:tcBorders>
            <w:vAlign w:val="center"/>
          </w:tcPr>
          <w:p w14:paraId="31C227A3">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150</w:t>
            </w:r>
          </w:p>
        </w:tc>
        <w:tc>
          <w:tcPr>
            <w:tcW w:w="274" w:type="pct"/>
            <w:tcBorders>
              <w:top w:val="single" w:color="auto" w:sz="4" w:space="0"/>
              <w:left w:val="single" w:color="auto" w:sz="4" w:space="0"/>
              <w:bottom w:val="single" w:color="auto" w:sz="4" w:space="0"/>
              <w:right w:val="single" w:color="auto" w:sz="4" w:space="0"/>
            </w:tcBorders>
            <w:vAlign w:val="center"/>
          </w:tcPr>
          <w:p w14:paraId="5021B061">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≤12个月</w:t>
            </w:r>
          </w:p>
        </w:tc>
      </w:tr>
      <w:tr w14:paraId="77F6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1"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325293D7">
            <w:pPr>
              <w:keepNext w:val="0"/>
              <w:keepLines w:val="0"/>
              <w:pageBreakBefore w:val="0"/>
              <w:widowControl/>
              <w:numPr>
                <w:ilvl w:val="0"/>
                <w:numId w:val="0"/>
              </w:numPr>
              <w:tabs>
                <w:tab w:val="left" w:pos="0"/>
              </w:tabs>
              <w:kinsoku/>
              <w:wordWrap/>
              <w:overflowPunct/>
              <w:topLinePunct w:val="0"/>
              <w:autoSpaceDE/>
              <w:autoSpaceDN/>
              <w:bidi w:val="0"/>
              <w:adjustRightInd/>
              <w:snapToGrid w:val="0"/>
              <w:spacing w:line="360" w:lineRule="exact"/>
              <w:ind w:leftChars="0"/>
              <w:jc w:val="center"/>
              <w:textAlignment w:val="auto"/>
              <w:rPr>
                <w:rFonts w:hint="eastAsia" w:ascii="Times New Roman" w:hAnsi="Times New Roman" w:eastAsia="方正仿宋_GBK" w:cs="Times New Roman"/>
                <w:color w:val="auto"/>
                <w:kern w:val="0"/>
                <w:sz w:val="28"/>
                <w:szCs w:val="28"/>
                <w:lang w:eastAsia="zh-CN"/>
              </w:rPr>
            </w:pPr>
            <w:r>
              <w:rPr>
                <w:rFonts w:hint="eastAsia" w:ascii="方正仿宋_GBK" w:hAnsi="方正仿宋_GBK" w:eastAsia="方正仿宋_GBK" w:cs="方正仿宋_GBK"/>
                <w:color w:val="auto"/>
                <w:kern w:val="0"/>
                <w:sz w:val="24"/>
                <w:szCs w:val="24"/>
                <w:lang w:val="en-US" w:eastAsia="zh-CN"/>
              </w:rPr>
              <w:t>5</w:t>
            </w:r>
          </w:p>
        </w:tc>
        <w:tc>
          <w:tcPr>
            <w:tcW w:w="294" w:type="pct"/>
            <w:tcBorders>
              <w:top w:val="single" w:color="auto" w:sz="4" w:space="0"/>
              <w:left w:val="single" w:color="auto" w:sz="4" w:space="0"/>
              <w:bottom w:val="single" w:color="auto" w:sz="4" w:space="0"/>
              <w:right w:val="single" w:color="auto" w:sz="4" w:space="0"/>
            </w:tcBorders>
            <w:vAlign w:val="center"/>
          </w:tcPr>
          <w:p w14:paraId="3EFB3451">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yellow"/>
              </w:rPr>
            </w:pPr>
            <w:r>
              <w:rPr>
                <w:rFonts w:hint="eastAsia" w:ascii="Times New Roman" w:hAnsi="Times New Roman" w:eastAsia="方正仿宋_GBK"/>
                <w:color w:val="auto"/>
                <w:sz w:val="24"/>
                <w:szCs w:val="24"/>
                <w:highlight w:val="none"/>
              </w:rPr>
              <w:t>重点项目</w:t>
            </w:r>
          </w:p>
        </w:tc>
        <w:tc>
          <w:tcPr>
            <w:tcW w:w="340" w:type="pct"/>
            <w:tcBorders>
              <w:top w:val="single" w:color="auto" w:sz="4" w:space="0"/>
              <w:left w:val="single" w:color="auto" w:sz="4" w:space="0"/>
              <w:bottom w:val="single" w:color="auto" w:sz="4" w:space="0"/>
              <w:right w:val="single" w:color="auto" w:sz="4" w:space="0"/>
            </w:tcBorders>
            <w:vAlign w:val="center"/>
          </w:tcPr>
          <w:p w14:paraId="4CEADF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面向卫星相控阵终端的方向图快速测试技术研究</w:t>
            </w:r>
          </w:p>
        </w:tc>
        <w:tc>
          <w:tcPr>
            <w:tcW w:w="1526" w:type="pct"/>
            <w:tcBorders>
              <w:top w:val="single" w:color="auto" w:sz="4" w:space="0"/>
              <w:left w:val="single" w:color="auto" w:sz="4" w:space="0"/>
              <w:bottom w:val="single" w:color="auto" w:sz="4" w:space="0"/>
              <w:right w:val="single" w:color="auto" w:sz="4" w:space="0"/>
            </w:tcBorders>
            <w:vAlign w:val="center"/>
          </w:tcPr>
          <w:p w14:paraId="1B35DB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针对低轨卫星终端阵列方向图测试效率低下的问题，开展方向图快速测试技术研究，提出Ka频段低轨卫星终端阵列快速测试方案，提升相控阵终端测试效率，相对传统测试方法测试时间减少75%。建立终端阵列方向图射频指纹特征测试原型系统，研究高效率射频指纹数据采集方法，通过分析信噪比、工作频率、待测阵列损坏因子等因素对射频指纹数据的影响，获取最优稀疏感知矩阵拓扑结构；研究非理想参量对射频指纹提取精度的影响，完成非理想参量对测试精度的量化分析；搭建低轨卫星终端射频指纹提取测试平台，形成测试方案报告，促进快速方向图测试方法标准化推进。</w:t>
            </w:r>
          </w:p>
        </w:tc>
        <w:tc>
          <w:tcPr>
            <w:tcW w:w="1763" w:type="pct"/>
            <w:tcBorders>
              <w:top w:val="single" w:color="auto" w:sz="4" w:space="0"/>
              <w:left w:val="single" w:color="auto" w:sz="4" w:space="0"/>
              <w:bottom w:val="single" w:color="auto" w:sz="4" w:space="0"/>
              <w:right w:val="single" w:color="auto" w:sz="4" w:space="0"/>
            </w:tcBorders>
            <w:vAlign w:val="center"/>
          </w:tcPr>
          <w:p w14:paraId="00D59C0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1.低轨卫星终端射频指纹测试系统样机1套，样机通道数≥16；</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2.录用或发表高水平论文不少于1篇；</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3.受理或授权发明专利不少于1项；</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4.提交基于射频指纹特征的低轨卫星相控阵终端阵列方向图高效率测试方法报告1份（包括平台搭建、流程构建、软件、报告）。</w:t>
            </w:r>
          </w:p>
        </w:tc>
        <w:tc>
          <w:tcPr>
            <w:tcW w:w="508" w:type="pct"/>
            <w:tcBorders>
              <w:top w:val="single" w:color="auto" w:sz="4" w:space="0"/>
              <w:left w:val="single" w:color="auto" w:sz="4" w:space="0"/>
              <w:bottom w:val="single" w:color="auto" w:sz="4" w:space="0"/>
              <w:right w:val="single" w:color="auto" w:sz="4" w:space="0"/>
            </w:tcBorders>
            <w:vAlign w:val="center"/>
          </w:tcPr>
          <w:p w14:paraId="0B9A3CEC">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default" w:ascii="Times New Roman" w:hAnsi="Times New Roman" w:eastAsia="方正仿宋_GBK"/>
                <w:color w:val="auto"/>
                <w:sz w:val="24"/>
                <w:szCs w:val="24"/>
                <w:highlight w:val="none"/>
                <w:lang w:val="en-US" w:eastAsia="zh-CN"/>
              </w:rPr>
            </w:pPr>
            <w:r>
              <w:rPr>
                <w:rFonts w:hint="eastAsia" w:ascii="Times New Roman" w:hAnsi="Times New Roman" w:eastAsia="方正仿宋_GBK"/>
                <w:color w:val="auto"/>
                <w:sz w:val="24"/>
                <w:szCs w:val="24"/>
                <w:highlight w:val="none"/>
                <w:lang w:val="en-US" w:eastAsia="zh-CN"/>
              </w:rPr>
              <w:t>100</w:t>
            </w:r>
          </w:p>
        </w:tc>
        <w:tc>
          <w:tcPr>
            <w:tcW w:w="274" w:type="pct"/>
            <w:tcBorders>
              <w:top w:val="single" w:color="auto" w:sz="4" w:space="0"/>
              <w:left w:val="single" w:color="auto" w:sz="4" w:space="0"/>
              <w:bottom w:val="single" w:color="auto" w:sz="4" w:space="0"/>
              <w:right w:val="single" w:color="auto" w:sz="4" w:space="0"/>
            </w:tcBorders>
            <w:vAlign w:val="center"/>
          </w:tcPr>
          <w:p w14:paraId="776EB771">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≤12个月</w:t>
            </w:r>
          </w:p>
        </w:tc>
      </w:tr>
      <w:tr w14:paraId="278B1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0"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5D37F960">
            <w:pPr>
              <w:keepNext w:val="0"/>
              <w:keepLines w:val="0"/>
              <w:pageBreakBefore w:val="0"/>
              <w:widowControl/>
              <w:numPr>
                <w:ilvl w:val="0"/>
                <w:numId w:val="0"/>
              </w:numPr>
              <w:tabs>
                <w:tab w:val="left" w:pos="0"/>
              </w:tabs>
              <w:kinsoku/>
              <w:wordWrap/>
              <w:overflowPunct/>
              <w:topLinePunct w:val="0"/>
              <w:autoSpaceDE/>
              <w:autoSpaceDN/>
              <w:bidi w:val="0"/>
              <w:adjustRightInd/>
              <w:snapToGrid w:val="0"/>
              <w:spacing w:line="360" w:lineRule="exact"/>
              <w:ind w:leftChars="0"/>
              <w:jc w:val="center"/>
              <w:textAlignment w:val="auto"/>
              <w:rPr>
                <w:rFonts w:hint="eastAsia" w:ascii="Times New Roman" w:hAnsi="Times New Roman" w:eastAsia="方正仿宋_GBK" w:cs="Times New Roman"/>
                <w:color w:val="auto"/>
                <w:kern w:val="0"/>
                <w:sz w:val="28"/>
                <w:szCs w:val="28"/>
                <w:lang w:eastAsia="zh-CN"/>
              </w:rPr>
            </w:pPr>
            <w:r>
              <w:rPr>
                <w:rFonts w:hint="eastAsia" w:ascii="方正仿宋_GBK" w:hAnsi="方正仿宋_GBK" w:eastAsia="方正仿宋_GBK" w:cs="方正仿宋_GBK"/>
                <w:color w:val="auto"/>
                <w:kern w:val="0"/>
                <w:sz w:val="24"/>
                <w:szCs w:val="24"/>
                <w:lang w:val="en-US" w:eastAsia="zh-CN"/>
              </w:rPr>
              <w:t>6</w:t>
            </w:r>
          </w:p>
        </w:tc>
        <w:tc>
          <w:tcPr>
            <w:tcW w:w="294" w:type="pct"/>
            <w:tcBorders>
              <w:top w:val="single" w:color="auto" w:sz="4" w:space="0"/>
              <w:left w:val="single" w:color="auto" w:sz="4" w:space="0"/>
              <w:bottom w:val="single" w:color="auto" w:sz="4" w:space="0"/>
              <w:right w:val="single" w:color="auto" w:sz="4" w:space="0"/>
            </w:tcBorders>
            <w:vAlign w:val="center"/>
          </w:tcPr>
          <w:p w14:paraId="7140CA0A">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yellow"/>
              </w:rPr>
            </w:pPr>
            <w:r>
              <w:rPr>
                <w:rFonts w:hint="eastAsia" w:ascii="Times New Roman" w:hAnsi="Times New Roman" w:eastAsia="方正仿宋_GBK"/>
                <w:color w:val="auto"/>
                <w:sz w:val="24"/>
                <w:szCs w:val="24"/>
                <w:highlight w:val="none"/>
              </w:rPr>
              <w:t>重点项目</w:t>
            </w:r>
          </w:p>
        </w:tc>
        <w:tc>
          <w:tcPr>
            <w:tcW w:w="340" w:type="pct"/>
            <w:tcBorders>
              <w:top w:val="single" w:color="auto" w:sz="4" w:space="0"/>
              <w:left w:val="single" w:color="auto" w:sz="4" w:space="0"/>
              <w:bottom w:val="single" w:color="auto" w:sz="4" w:space="0"/>
              <w:right w:val="single" w:color="auto" w:sz="4" w:space="0"/>
            </w:tcBorders>
            <w:vAlign w:val="center"/>
          </w:tcPr>
          <w:p w14:paraId="54E1E3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面向卫星相控阵终端的近场空口测试关键技术研究</w:t>
            </w:r>
          </w:p>
        </w:tc>
        <w:tc>
          <w:tcPr>
            <w:tcW w:w="1526" w:type="pct"/>
            <w:tcBorders>
              <w:top w:val="single" w:color="auto" w:sz="4" w:space="0"/>
              <w:left w:val="single" w:color="auto" w:sz="4" w:space="0"/>
              <w:bottom w:val="single" w:color="auto" w:sz="4" w:space="0"/>
              <w:right w:val="single" w:color="auto" w:sz="4" w:space="0"/>
            </w:tcBorders>
            <w:vAlign w:val="center"/>
          </w:tcPr>
          <w:p w14:paraId="12EC69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针对相控阵传统测试方案面临的测试距离远、建设成本高等突出问题，开展面向Ka频段卫星相控阵终端的高效、低成本测试方法研究。研究基于稀疏多探头的近场测试系统，支持近场宽角域多波位方向图快速测试，提高测量精度并显著降低测试成本；构建小型化生产型暗箱环境的空间电磁特征模型，完成电波传播多径散射环境测量，研究非理想环境中杂波抑制算法，降低有限空间内多径反射造成的测试误差；研制低成本轻薄吸波材料和模块化生产型暗箱测试平台，实现对卫星相控阵的高效、低成本测试。</w:t>
            </w:r>
          </w:p>
        </w:tc>
        <w:tc>
          <w:tcPr>
            <w:tcW w:w="1763" w:type="pct"/>
            <w:tcBorders>
              <w:top w:val="single" w:color="auto" w:sz="4" w:space="0"/>
              <w:left w:val="single" w:color="auto" w:sz="4" w:space="0"/>
              <w:bottom w:val="single" w:color="auto" w:sz="4" w:space="0"/>
              <w:right w:val="single" w:color="auto" w:sz="4" w:space="0"/>
            </w:tcBorders>
            <w:vAlign w:val="center"/>
          </w:tcPr>
          <w:p w14:paraId="7A3322D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1.天线阵单元的幅相校准精度分别达到1.5dB/10°以内；支持近场条件下±45°范围内的多波位方向图快速测试；</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2.与传统紧缩场方案相比，针对相同阵列的测试时间降低5倍以上，测试距离缩短1倍，虚拟多探头系统与传统紧缩场方案相比，针对相同阵列的测试距离缩短1倍；</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3.构建适用于Ka波段卫星相控阵终端(尺寸450*350*120mm)的测试技术体系，暗箱尺寸小于1.2m*1.2m*1m，稀疏多探头阵间距大于两个波长，阵面尺寸小于650mm*650mm；</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4.受理或授权发明专利不少于3项；</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5.录用或发表高水平文不少于1篇；</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6.提交空口测试标准文档不少于1份；</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7.提交相控阵快速测试方案1份(包括平台搭建、流程构建、软件、报告)；</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8.提交卫星终端相控阵空口快速低成本测试系统小型暗箱1个（含暗箱及探头设计图纸、加工文件、配套测试软件，不含暗箱主体）。</w:t>
            </w:r>
          </w:p>
        </w:tc>
        <w:tc>
          <w:tcPr>
            <w:tcW w:w="508" w:type="pct"/>
            <w:tcBorders>
              <w:top w:val="single" w:color="auto" w:sz="4" w:space="0"/>
              <w:left w:val="single" w:color="auto" w:sz="4" w:space="0"/>
              <w:bottom w:val="single" w:color="auto" w:sz="4" w:space="0"/>
              <w:right w:val="single" w:color="auto" w:sz="4" w:space="0"/>
            </w:tcBorders>
            <w:vAlign w:val="center"/>
          </w:tcPr>
          <w:p w14:paraId="245D0100">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default" w:ascii="Times New Roman" w:hAnsi="Times New Roman" w:eastAsia="方正仿宋_GBK"/>
                <w:color w:val="auto"/>
                <w:sz w:val="24"/>
                <w:szCs w:val="24"/>
                <w:highlight w:val="none"/>
                <w:lang w:val="en-US" w:eastAsia="zh-CN"/>
              </w:rPr>
            </w:pPr>
            <w:r>
              <w:rPr>
                <w:rFonts w:hint="eastAsia" w:ascii="Times New Roman" w:hAnsi="Times New Roman" w:eastAsia="方正仿宋_GBK"/>
                <w:color w:val="auto"/>
                <w:sz w:val="24"/>
                <w:szCs w:val="24"/>
                <w:highlight w:val="none"/>
                <w:lang w:val="en-US" w:eastAsia="zh-CN"/>
              </w:rPr>
              <w:t>100</w:t>
            </w:r>
          </w:p>
        </w:tc>
        <w:tc>
          <w:tcPr>
            <w:tcW w:w="274" w:type="pct"/>
            <w:tcBorders>
              <w:top w:val="single" w:color="auto" w:sz="4" w:space="0"/>
              <w:left w:val="single" w:color="auto" w:sz="4" w:space="0"/>
              <w:bottom w:val="single" w:color="auto" w:sz="4" w:space="0"/>
              <w:right w:val="single" w:color="auto" w:sz="4" w:space="0"/>
            </w:tcBorders>
            <w:vAlign w:val="center"/>
          </w:tcPr>
          <w:p w14:paraId="49A83F3C">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≤18个月</w:t>
            </w:r>
          </w:p>
        </w:tc>
      </w:tr>
      <w:tr w14:paraId="20EC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6"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533AA531">
            <w:pPr>
              <w:keepNext w:val="0"/>
              <w:keepLines w:val="0"/>
              <w:pageBreakBefore w:val="0"/>
              <w:widowControl/>
              <w:numPr>
                <w:ilvl w:val="0"/>
                <w:numId w:val="0"/>
              </w:numPr>
              <w:tabs>
                <w:tab w:val="left" w:pos="0"/>
              </w:tabs>
              <w:kinsoku/>
              <w:wordWrap/>
              <w:overflowPunct/>
              <w:topLinePunct w:val="0"/>
              <w:autoSpaceDE/>
              <w:autoSpaceDN/>
              <w:bidi w:val="0"/>
              <w:adjustRightInd/>
              <w:snapToGrid w:val="0"/>
              <w:spacing w:line="360" w:lineRule="exact"/>
              <w:ind w:leftChars="0"/>
              <w:jc w:val="center"/>
              <w:textAlignment w:val="auto"/>
              <w:rPr>
                <w:rFonts w:hint="eastAsia" w:ascii="Times New Roman" w:hAnsi="Times New Roman" w:eastAsia="方正仿宋_GBK" w:cs="Times New Roman"/>
                <w:color w:val="auto"/>
                <w:kern w:val="0"/>
                <w:sz w:val="28"/>
                <w:szCs w:val="28"/>
                <w:lang w:eastAsia="zh-CN"/>
              </w:rPr>
            </w:pPr>
            <w:r>
              <w:rPr>
                <w:rFonts w:hint="eastAsia" w:ascii="方正仿宋_GBK" w:hAnsi="方正仿宋_GBK" w:eastAsia="方正仿宋_GBK" w:cs="方正仿宋_GBK"/>
                <w:color w:val="auto"/>
                <w:kern w:val="0"/>
                <w:sz w:val="24"/>
                <w:szCs w:val="24"/>
                <w:lang w:val="en-US" w:eastAsia="zh-CN"/>
              </w:rPr>
              <w:t>7</w:t>
            </w:r>
          </w:p>
        </w:tc>
        <w:tc>
          <w:tcPr>
            <w:tcW w:w="294" w:type="pct"/>
            <w:tcBorders>
              <w:top w:val="single" w:color="auto" w:sz="4" w:space="0"/>
              <w:left w:val="single" w:color="auto" w:sz="4" w:space="0"/>
              <w:bottom w:val="single" w:color="auto" w:sz="4" w:space="0"/>
              <w:right w:val="single" w:color="auto" w:sz="4" w:space="0"/>
            </w:tcBorders>
            <w:vAlign w:val="center"/>
          </w:tcPr>
          <w:p w14:paraId="5417AEBE">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yellow"/>
              </w:rPr>
            </w:pPr>
            <w:r>
              <w:rPr>
                <w:rFonts w:hint="eastAsia" w:ascii="Times New Roman" w:hAnsi="Times New Roman" w:eastAsia="方正仿宋_GBK"/>
                <w:color w:val="auto"/>
                <w:sz w:val="24"/>
                <w:szCs w:val="24"/>
                <w:highlight w:val="none"/>
              </w:rPr>
              <w:t>重点项目</w:t>
            </w:r>
          </w:p>
        </w:tc>
        <w:tc>
          <w:tcPr>
            <w:tcW w:w="340" w:type="pct"/>
            <w:tcBorders>
              <w:top w:val="single" w:color="auto" w:sz="4" w:space="0"/>
              <w:left w:val="single" w:color="auto" w:sz="4" w:space="0"/>
              <w:bottom w:val="single" w:color="auto" w:sz="4" w:space="0"/>
              <w:right w:val="single" w:color="auto" w:sz="4" w:space="0"/>
            </w:tcBorders>
            <w:vAlign w:val="center"/>
          </w:tcPr>
          <w:p w14:paraId="4AB657C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面向低轨卫星通信终端接入技术的应用服务要求及测试方法研究</w:t>
            </w:r>
          </w:p>
        </w:tc>
        <w:tc>
          <w:tcPr>
            <w:tcW w:w="1526" w:type="pct"/>
            <w:tcBorders>
              <w:top w:val="single" w:color="auto" w:sz="4" w:space="0"/>
              <w:left w:val="single" w:color="auto" w:sz="4" w:space="0"/>
              <w:bottom w:val="single" w:color="auto" w:sz="4" w:space="0"/>
              <w:right w:val="single" w:color="auto" w:sz="4" w:space="0"/>
            </w:tcBorders>
            <w:vAlign w:val="center"/>
          </w:tcPr>
          <w:p w14:paraId="06645D7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立足低轨卫星通信终端在全球宽带接入、多模融合网络、物联网应急与安全通信等场景的应用需求，聚焦服务质量提升与产业生态发展，研究应用服务质量评价体系并提出测试方案，构建测试用例并形成标准。围绕低轨卫星通信终端具有的动态拓扑，多普勒频移等技术特点和应用场景，重点开展对功能验证（动态信号捕获跟踪、多普勒补偿、调制编码支持、多网切换）、性能评估（时延、丢包率等QoS指标测试）、可靠性及安全性（星座切换重连、加密抗干扰、隐私保护）等方面的研究。</w:t>
            </w:r>
          </w:p>
        </w:tc>
        <w:tc>
          <w:tcPr>
            <w:tcW w:w="1763" w:type="pct"/>
            <w:tcBorders>
              <w:top w:val="single" w:color="auto" w:sz="4" w:space="0"/>
              <w:left w:val="single" w:color="auto" w:sz="4" w:space="0"/>
              <w:bottom w:val="single" w:color="auto" w:sz="4" w:space="0"/>
              <w:right w:val="single" w:color="auto" w:sz="4" w:space="0"/>
            </w:tcBorders>
            <w:vAlign w:val="center"/>
          </w:tcPr>
          <w:p w14:paraId="4CD009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1.建立低轨卫星通信终端应用服务质量评价体系，形成含功能（空口协议交互、PDU会话建立）、性能（吞吐量、时延、QoS、音视频质量、切换性能）、可靠性（业务连续性）、安全性（AES加密）指标的测试用例库1套；</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2.提交基于至少2个应用场景的低轨卫星通信终端应用服务质量测试评估方案1份；</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3.提交至少涵盖性能、可靠性和安全性测试的低轨卫星通信终端应用服务质量测试代码1套；</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4.录用或发表高水平论文不少于1篇；</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5.受理或授权发明专利不少于3项；</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6.提交标准草案不少于3份。</w:t>
            </w:r>
          </w:p>
        </w:tc>
        <w:tc>
          <w:tcPr>
            <w:tcW w:w="508" w:type="pct"/>
            <w:tcBorders>
              <w:top w:val="single" w:color="auto" w:sz="4" w:space="0"/>
              <w:left w:val="single" w:color="auto" w:sz="4" w:space="0"/>
              <w:bottom w:val="single" w:color="auto" w:sz="4" w:space="0"/>
              <w:right w:val="single" w:color="auto" w:sz="4" w:space="0"/>
            </w:tcBorders>
            <w:vAlign w:val="center"/>
          </w:tcPr>
          <w:p w14:paraId="108B7880">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default" w:ascii="Times New Roman" w:hAnsi="Times New Roman" w:eastAsia="方正仿宋_GBK"/>
                <w:color w:val="auto"/>
                <w:sz w:val="24"/>
                <w:szCs w:val="24"/>
                <w:highlight w:val="none"/>
                <w:lang w:val="en-US" w:eastAsia="zh-CN"/>
              </w:rPr>
            </w:pPr>
            <w:r>
              <w:rPr>
                <w:rFonts w:hint="eastAsia" w:ascii="Times New Roman" w:hAnsi="Times New Roman" w:eastAsia="方正仿宋_GBK"/>
                <w:color w:val="auto"/>
                <w:sz w:val="24"/>
                <w:szCs w:val="24"/>
                <w:highlight w:val="none"/>
                <w:lang w:val="en-US" w:eastAsia="zh-CN"/>
              </w:rPr>
              <w:t>100</w:t>
            </w:r>
          </w:p>
        </w:tc>
        <w:tc>
          <w:tcPr>
            <w:tcW w:w="274" w:type="pct"/>
            <w:tcBorders>
              <w:top w:val="single" w:color="auto" w:sz="4" w:space="0"/>
              <w:left w:val="single" w:color="auto" w:sz="4" w:space="0"/>
              <w:bottom w:val="single" w:color="auto" w:sz="4" w:space="0"/>
              <w:right w:val="single" w:color="auto" w:sz="4" w:space="0"/>
            </w:tcBorders>
            <w:vAlign w:val="center"/>
          </w:tcPr>
          <w:p w14:paraId="7F334ABE">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≤12个月</w:t>
            </w:r>
          </w:p>
        </w:tc>
      </w:tr>
      <w:tr w14:paraId="21F8B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4"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684AB040">
            <w:pPr>
              <w:bidi w:val="0"/>
              <w:rPr>
                <w:rFonts w:asciiTheme="minorHAnsi" w:hAnsiTheme="minorHAnsi" w:eastAsiaTheme="minorEastAsia" w:cstheme="minorBidi"/>
                <w:kern w:val="2"/>
                <w:sz w:val="21"/>
                <w:szCs w:val="22"/>
                <w:lang w:val="en-US" w:eastAsia="zh-CN" w:bidi="ar-SA"/>
              </w:rPr>
            </w:pPr>
          </w:p>
          <w:p w14:paraId="67AFB51A">
            <w:pPr>
              <w:bidi w:val="0"/>
              <w:ind w:firstLine="240" w:firstLineChars="100"/>
              <w:jc w:val="both"/>
              <w:rPr>
                <w:rFonts w:hint="default"/>
                <w:lang w:val="en-US" w:eastAsia="zh-CN"/>
              </w:rPr>
            </w:pPr>
            <w:r>
              <w:rPr>
                <w:rFonts w:hint="eastAsia" w:ascii="方正仿宋_GBK" w:hAnsi="方正仿宋_GBK" w:eastAsia="方正仿宋_GBK" w:cs="方正仿宋_GBK"/>
                <w:sz w:val="24"/>
                <w:szCs w:val="24"/>
                <w:lang w:val="en-US" w:eastAsia="zh-CN"/>
              </w:rPr>
              <w:t>8</w:t>
            </w:r>
          </w:p>
        </w:tc>
        <w:tc>
          <w:tcPr>
            <w:tcW w:w="294" w:type="pct"/>
            <w:tcBorders>
              <w:top w:val="single" w:color="auto" w:sz="4" w:space="0"/>
              <w:left w:val="single" w:color="auto" w:sz="4" w:space="0"/>
              <w:bottom w:val="single" w:color="auto" w:sz="4" w:space="0"/>
              <w:right w:val="single" w:color="auto" w:sz="4" w:space="0"/>
            </w:tcBorders>
            <w:vAlign w:val="center"/>
          </w:tcPr>
          <w:p w14:paraId="037C9B61">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yellow"/>
              </w:rPr>
            </w:pPr>
            <w:r>
              <w:rPr>
                <w:rFonts w:hint="eastAsia" w:ascii="Times New Roman" w:hAnsi="Times New Roman" w:eastAsia="方正仿宋_GBK"/>
                <w:color w:val="auto"/>
                <w:sz w:val="24"/>
                <w:szCs w:val="24"/>
                <w:highlight w:val="none"/>
              </w:rPr>
              <w:t>重点项目</w:t>
            </w:r>
          </w:p>
        </w:tc>
        <w:tc>
          <w:tcPr>
            <w:tcW w:w="340" w:type="pct"/>
            <w:tcBorders>
              <w:top w:val="single" w:color="auto" w:sz="4" w:space="0"/>
              <w:left w:val="single" w:color="auto" w:sz="4" w:space="0"/>
              <w:bottom w:val="single" w:color="auto" w:sz="4" w:space="0"/>
              <w:right w:val="single" w:color="auto" w:sz="4" w:space="0"/>
            </w:tcBorders>
            <w:vAlign w:val="center"/>
          </w:tcPr>
          <w:p w14:paraId="42B9FD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面向卫星通信终端低速率声码器语音质量增强技术研究</w:t>
            </w:r>
          </w:p>
        </w:tc>
        <w:tc>
          <w:tcPr>
            <w:tcW w:w="1526" w:type="pct"/>
            <w:tcBorders>
              <w:top w:val="single" w:color="auto" w:sz="4" w:space="0"/>
              <w:left w:val="single" w:color="auto" w:sz="4" w:space="0"/>
              <w:bottom w:val="single" w:color="auto" w:sz="4" w:space="0"/>
              <w:right w:val="single" w:color="auto" w:sz="4" w:space="0"/>
            </w:tcBorders>
            <w:vAlign w:val="center"/>
          </w:tcPr>
          <w:p w14:paraId="36E0BF1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针对带宽资源受限的卫星通信网络，开展低速率声码器（≤800bps）技术研究，聚焦提高话音质量和提高频谱利用率的问题，从主观感受、客观评测等方面提高低速率声码器的语音质量，处理延时小于4ms；利用传统语音编解码算法提取语音主要特征构建码本，并辅助AI模型进行语音压缩，保证一定语音质量基础上形成较低速率（≤800bps）的声码器；采用蒸馏、剪枝等手段减少编解码模型参数，优化编解码处理时延和资源占用情况，以适配不同卫星通信终端。</w:t>
            </w:r>
          </w:p>
        </w:tc>
        <w:tc>
          <w:tcPr>
            <w:tcW w:w="1763" w:type="pct"/>
            <w:tcBorders>
              <w:top w:val="single" w:color="auto" w:sz="4" w:space="0"/>
              <w:left w:val="single" w:color="auto" w:sz="4" w:space="0"/>
              <w:bottom w:val="single" w:color="auto" w:sz="4" w:space="0"/>
              <w:right w:val="single" w:color="auto" w:sz="4" w:space="0"/>
            </w:tcBorders>
            <w:vAlign w:val="center"/>
          </w:tcPr>
          <w:p w14:paraId="4282E0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1.提交项目研究总结报告1份；</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2.提交星网终端声码器语音质量性能详细测试报告1份，声码器处理后语音MOS≥2.8，编码器处理时延小于30ms；</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3.提交动态库文件1份，终端语音增强技术处理时延小于4ms；</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4.提交预装语音增强技术及编解码模型优化后源码的高性能GPU服务器1套；</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5.受理或授权发明专利1项。</w:t>
            </w:r>
          </w:p>
        </w:tc>
        <w:tc>
          <w:tcPr>
            <w:tcW w:w="508" w:type="pct"/>
            <w:tcBorders>
              <w:top w:val="single" w:color="auto" w:sz="4" w:space="0"/>
              <w:left w:val="single" w:color="auto" w:sz="4" w:space="0"/>
              <w:bottom w:val="single" w:color="auto" w:sz="4" w:space="0"/>
              <w:right w:val="single" w:color="auto" w:sz="4" w:space="0"/>
            </w:tcBorders>
            <w:vAlign w:val="center"/>
          </w:tcPr>
          <w:p w14:paraId="0FF66764">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default" w:ascii="Times New Roman" w:hAnsi="Times New Roman" w:eastAsia="方正仿宋_GBK"/>
                <w:color w:val="auto"/>
                <w:sz w:val="24"/>
                <w:szCs w:val="24"/>
                <w:highlight w:val="none"/>
                <w:lang w:val="en-US" w:eastAsia="zh-CN"/>
              </w:rPr>
            </w:pPr>
            <w:r>
              <w:rPr>
                <w:rFonts w:hint="eastAsia" w:ascii="Times New Roman" w:hAnsi="Times New Roman" w:eastAsia="方正仿宋_GBK"/>
                <w:color w:val="auto"/>
                <w:sz w:val="24"/>
                <w:szCs w:val="24"/>
                <w:highlight w:val="none"/>
                <w:lang w:val="en-US" w:eastAsia="zh-CN"/>
              </w:rPr>
              <w:t>80</w:t>
            </w:r>
          </w:p>
        </w:tc>
        <w:tc>
          <w:tcPr>
            <w:tcW w:w="274" w:type="pct"/>
            <w:tcBorders>
              <w:top w:val="single" w:color="auto" w:sz="4" w:space="0"/>
              <w:left w:val="single" w:color="auto" w:sz="4" w:space="0"/>
              <w:bottom w:val="single" w:color="auto" w:sz="4" w:space="0"/>
              <w:right w:val="single" w:color="auto" w:sz="4" w:space="0"/>
            </w:tcBorders>
            <w:vAlign w:val="center"/>
          </w:tcPr>
          <w:p w14:paraId="59E35B21">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≤12个月</w:t>
            </w:r>
          </w:p>
        </w:tc>
      </w:tr>
      <w:tr w14:paraId="756C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2" w:type="pct"/>
            <w:tcBorders>
              <w:top w:val="single" w:color="auto" w:sz="4" w:space="0"/>
              <w:left w:val="single" w:color="auto" w:sz="4" w:space="0"/>
              <w:bottom w:val="single" w:color="auto" w:sz="4" w:space="0"/>
              <w:right w:val="single" w:color="auto" w:sz="4" w:space="0"/>
            </w:tcBorders>
            <w:vAlign w:val="center"/>
          </w:tcPr>
          <w:p w14:paraId="5DE6AA81">
            <w:pPr>
              <w:keepNext w:val="0"/>
              <w:keepLines w:val="0"/>
              <w:pageBreakBefore w:val="0"/>
              <w:widowControl/>
              <w:numPr>
                <w:ilvl w:val="0"/>
                <w:numId w:val="0"/>
              </w:numPr>
              <w:tabs>
                <w:tab w:val="left" w:pos="0"/>
              </w:tabs>
              <w:kinsoku/>
              <w:wordWrap/>
              <w:overflowPunct/>
              <w:topLinePunct w:val="0"/>
              <w:autoSpaceDE/>
              <w:autoSpaceDN/>
              <w:bidi w:val="0"/>
              <w:adjustRightInd/>
              <w:snapToGrid w:val="0"/>
              <w:spacing w:line="360" w:lineRule="exact"/>
              <w:ind w:leftChars="0"/>
              <w:jc w:val="center"/>
              <w:textAlignment w:val="auto"/>
              <w:rPr>
                <w:rFonts w:hint="eastAsia" w:ascii="Times New Roman" w:hAnsi="Times New Roman" w:eastAsia="方正仿宋_GBK" w:cs="Times New Roman"/>
                <w:color w:val="auto"/>
                <w:kern w:val="0"/>
                <w:sz w:val="28"/>
                <w:szCs w:val="28"/>
                <w:lang w:eastAsia="zh-CN"/>
              </w:rPr>
            </w:pPr>
            <w:r>
              <w:rPr>
                <w:rFonts w:hint="eastAsia" w:ascii="方正仿宋_GBK" w:hAnsi="方正仿宋_GBK" w:eastAsia="方正仿宋_GBK" w:cs="方正仿宋_GBK"/>
                <w:color w:val="auto"/>
                <w:kern w:val="0"/>
                <w:sz w:val="24"/>
                <w:szCs w:val="24"/>
                <w:lang w:val="en-US" w:eastAsia="zh-CN"/>
              </w:rPr>
              <w:t>9</w:t>
            </w:r>
          </w:p>
        </w:tc>
        <w:tc>
          <w:tcPr>
            <w:tcW w:w="294" w:type="pct"/>
            <w:tcBorders>
              <w:top w:val="single" w:color="auto" w:sz="4" w:space="0"/>
              <w:left w:val="single" w:color="auto" w:sz="4" w:space="0"/>
              <w:bottom w:val="single" w:color="auto" w:sz="4" w:space="0"/>
              <w:right w:val="single" w:color="auto" w:sz="4" w:space="0"/>
            </w:tcBorders>
            <w:vAlign w:val="center"/>
          </w:tcPr>
          <w:p w14:paraId="49BB3DBE">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yellow"/>
              </w:rPr>
            </w:pPr>
            <w:r>
              <w:rPr>
                <w:rFonts w:hint="eastAsia" w:ascii="Times New Roman" w:hAnsi="Times New Roman" w:eastAsia="方正仿宋_GBK"/>
                <w:color w:val="auto"/>
                <w:sz w:val="24"/>
                <w:szCs w:val="24"/>
                <w:highlight w:val="none"/>
              </w:rPr>
              <w:t>重点项目</w:t>
            </w:r>
          </w:p>
        </w:tc>
        <w:tc>
          <w:tcPr>
            <w:tcW w:w="340" w:type="pct"/>
            <w:tcBorders>
              <w:top w:val="single" w:color="auto" w:sz="4" w:space="0"/>
              <w:left w:val="single" w:color="auto" w:sz="4" w:space="0"/>
              <w:bottom w:val="single" w:color="auto" w:sz="4" w:space="0"/>
              <w:right w:val="single" w:color="auto" w:sz="4" w:space="0"/>
            </w:tcBorders>
            <w:vAlign w:val="center"/>
          </w:tcPr>
          <w:p w14:paraId="4FDEC8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极地区域导航增强技术研究</w:t>
            </w:r>
          </w:p>
        </w:tc>
        <w:tc>
          <w:tcPr>
            <w:tcW w:w="1526" w:type="pct"/>
            <w:tcBorders>
              <w:top w:val="single" w:color="auto" w:sz="4" w:space="0"/>
              <w:left w:val="single" w:color="auto" w:sz="4" w:space="0"/>
              <w:bottom w:val="single" w:color="auto" w:sz="4" w:space="0"/>
              <w:right w:val="single" w:color="auto" w:sz="4" w:space="0"/>
            </w:tcBorders>
            <w:vAlign w:val="center"/>
          </w:tcPr>
          <w:p w14:paraId="578936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针对两极地区复杂地磁、电磁和空间地理环境导致的导航精度有限和安全性差等问题，开展两极地区低轨导航增强GNSS或单北斗的高精度和可靠性研究，结合星网低轨系统能力建设规划，获取两极地区环境导航增强实际功能和性能指标；突破AI驱动的大气延迟误差建模技术，开展高低轨融合的系统误差仿真分析，搭建高低轨融合导航增强的系统仿真平台，研究极地自然条件对卫星导航能力的影响；研究两极地区天地一体化增强高精度实时定位方法，兼顾低轨/北斗信号高度差异的极区分层电离层改正模型和高时空分辨率对流层延迟误差模型，形成提高两极地区航空航海导航精度和可用性的综合解决方案。</w:t>
            </w:r>
          </w:p>
        </w:tc>
        <w:tc>
          <w:tcPr>
            <w:tcW w:w="1763" w:type="pct"/>
            <w:tcBorders>
              <w:top w:val="single" w:color="auto" w:sz="4" w:space="0"/>
              <w:left w:val="single" w:color="auto" w:sz="4" w:space="0"/>
              <w:bottom w:val="single" w:color="auto" w:sz="4" w:space="0"/>
              <w:right w:val="single" w:color="auto" w:sz="4" w:space="0"/>
            </w:tcBorders>
            <w:vAlign w:val="center"/>
          </w:tcPr>
          <w:p w14:paraId="28DE0AD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方正仿宋_GBK" w:hAnsi="方正仿宋_GBK" w:eastAsia="方正仿宋_GBK" w:cs="方正仿宋_GBK"/>
                <w:color w:val="auto"/>
                <w:sz w:val="24"/>
                <w:szCs w:val="24"/>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1.提交半实物仿真分析系统软件平台和源码1套，满足极区环境模拟仿真条件10s内实现亚米级的定位精度；极区环境模拟仿真条件下导航定位精度和可靠性等指标较常规纬度地区下降不超过10%；</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2.提交研究总结报告1份（包含极地导航增强调研分析报告、仿真分析报告、关键技术报告）；</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3.受理或授权发明专利1项；</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4.登记计算机软件著作权1件；</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5.录用或发表高水平论文2篇。</w:t>
            </w:r>
          </w:p>
        </w:tc>
        <w:tc>
          <w:tcPr>
            <w:tcW w:w="508" w:type="pct"/>
            <w:tcBorders>
              <w:top w:val="single" w:color="auto" w:sz="4" w:space="0"/>
              <w:left w:val="single" w:color="auto" w:sz="4" w:space="0"/>
              <w:bottom w:val="single" w:color="auto" w:sz="4" w:space="0"/>
              <w:right w:val="single" w:color="auto" w:sz="4" w:space="0"/>
            </w:tcBorders>
            <w:vAlign w:val="center"/>
          </w:tcPr>
          <w:p w14:paraId="11F80ABB">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default" w:ascii="Times New Roman" w:hAnsi="Times New Roman" w:eastAsia="方正仿宋_GBK"/>
                <w:color w:val="auto"/>
                <w:sz w:val="24"/>
                <w:szCs w:val="24"/>
                <w:highlight w:val="none"/>
                <w:lang w:val="en-US" w:eastAsia="zh-CN"/>
              </w:rPr>
            </w:pPr>
            <w:r>
              <w:rPr>
                <w:rFonts w:hint="eastAsia" w:ascii="Times New Roman" w:hAnsi="Times New Roman" w:eastAsia="方正仿宋_GBK"/>
                <w:color w:val="auto"/>
                <w:sz w:val="24"/>
                <w:szCs w:val="24"/>
                <w:highlight w:val="none"/>
                <w:lang w:val="en-US" w:eastAsia="zh-CN"/>
              </w:rPr>
              <w:t>70</w:t>
            </w:r>
          </w:p>
        </w:tc>
        <w:tc>
          <w:tcPr>
            <w:tcW w:w="274" w:type="pct"/>
            <w:tcBorders>
              <w:top w:val="single" w:color="auto" w:sz="4" w:space="0"/>
              <w:left w:val="single" w:color="auto" w:sz="4" w:space="0"/>
              <w:bottom w:val="single" w:color="auto" w:sz="4" w:space="0"/>
              <w:right w:val="single" w:color="auto" w:sz="4" w:space="0"/>
            </w:tcBorders>
            <w:vAlign w:val="center"/>
          </w:tcPr>
          <w:p w14:paraId="0EA50590">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仿宋_GBK"/>
                <w:color w:val="auto"/>
                <w:sz w:val="24"/>
                <w:szCs w:val="24"/>
                <w:highlight w:val="none"/>
              </w:rPr>
            </w:pPr>
            <w:r>
              <w:rPr>
                <w:rFonts w:hint="eastAsia" w:ascii="Times New Roman" w:hAnsi="Times New Roman" w:eastAsia="方正仿宋_GBK"/>
                <w:color w:val="auto"/>
                <w:sz w:val="24"/>
                <w:szCs w:val="24"/>
                <w:highlight w:val="none"/>
                <w:lang w:val="en-US" w:eastAsia="zh-CN"/>
              </w:rPr>
              <w:t>≤12个月</w:t>
            </w:r>
          </w:p>
        </w:tc>
      </w:tr>
    </w:tbl>
    <w:p w14:paraId="42F4A2D5">
      <w:pPr>
        <w:pStyle w:val="7"/>
        <w:ind w:left="420" w:firstLine="0" w:firstLineChars="0"/>
        <w:jc w:val="left"/>
        <w:rPr>
          <w:rFonts w:ascii="Times New Roman" w:hAnsi="Times New Roman" w:eastAsia="方正楷体_GBK" w:cs="Times New Roman"/>
          <w:color w:val="auto"/>
          <w:sz w:val="32"/>
          <w:szCs w:val="32"/>
        </w:rPr>
      </w:pPr>
    </w:p>
    <w:p w14:paraId="14F909A3">
      <w:pPr>
        <w:widowControl/>
        <w:jc w:val="left"/>
        <w:rPr>
          <w:rFonts w:ascii="Times New Roman" w:hAnsi="Times New Roman" w:eastAsia="方正楷体_GBK" w:cs="Times New Roman"/>
          <w:color w:val="auto"/>
          <w:sz w:val="32"/>
          <w:szCs w:val="32"/>
        </w:rPr>
      </w:pPr>
    </w:p>
    <w:sectPr>
      <w:footerReference r:id="rId3" w:type="default"/>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7A3CFABD-6688-4A44-BE49-C741B4AE5355}"/>
  </w:font>
  <w:font w:name="方正仿宋_GBK">
    <w:panose1 w:val="03000509000000000000"/>
    <w:charset w:val="86"/>
    <w:family w:val="script"/>
    <w:pitch w:val="default"/>
    <w:sig w:usb0="00000001" w:usb1="080E0000" w:usb2="00000000" w:usb3="00000000" w:csb0="00040000" w:csb1="00000000"/>
    <w:embedRegular r:id="rId2" w:fontKey="{ACA25B39-9361-4AB8-9FC6-6442EBE4C17C}"/>
  </w:font>
  <w:font w:name="方正黑体_GBK">
    <w:panose1 w:val="03000509000000000000"/>
    <w:charset w:val="86"/>
    <w:family w:val="script"/>
    <w:pitch w:val="default"/>
    <w:sig w:usb0="00000001" w:usb1="080E0000" w:usb2="00000000" w:usb3="00000000" w:csb0="00040000" w:csb1="00000000"/>
    <w:embedRegular r:id="rId3" w:fontKey="{5B310B7D-DD5E-49BB-909B-FEA566B62411}"/>
  </w:font>
  <w:font w:name="方正小标宋_GBK">
    <w:panose1 w:val="03000509000000000000"/>
    <w:charset w:val="86"/>
    <w:family w:val="script"/>
    <w:pitch w:val="default"/>
    <w:sig w:usb0="00000001" w:usb1="080E0000" w:usb2="00000000" w:usb3="00000000" w:csb0="00040000" w:csb1="00000000"/>
    <w:embedRegular r:id="rId4" w:fontKey="{2C7D0E55-9E5B-4B75-9A25-BAAC205ACA2E}"/>
  </w:font>
  <w:font w:name="方正楷体_GBK">
    <w:panose1 w:val="03000509000000000000"/>
    <w:charset w:val="86"/>
    <w:family w:val="script"/>
    <w:pitch w:val="default"/>
    <w:sig w:usb0="00000001" w:usb1="080E0000" w:usb2="00000000" w:usb3="00000000" w:csb0="00040000" w:csb1="00000000"/>
    <w:embedRegular r:id="rId5" w:fontKey="{C81ADC0E-55C8-432D-ADAC-9317555A7E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5942852"/>
    </w:sdtPr>
    <w:sdtContent>
      <w:p w14:paraId="0D914988">
        <w:pPr>
          <w:pStyle w:val="3"/>
          <w:jc w:val="center"/>
        </w:pPr>
        <w:r>
          <w:fldChar w:fldCharType="begin"/>
        </w:r>
        <w:r>
          <w:instrText xml:space="preserve">PAGE   \* MERGEFORMAT</w:instrText>
        </w:r>
        <w:r>
          <w:fldChar w:fldCharType="separate"/>
        </w:r>
        <w:r>
          <w:rPr>
            <w:lang w:val="zh-CN"/>
          </w:rPr>
          <w:t>2</w:t>
        </w:r>
        <w:r>
          <w:fldChar w:fldCharType="end"/>
        </w:r>
      </w:p>
    </w:sdtContent>
  </w:sdt>
  <w:p w14:paraId="58687FE1">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 w:name="KSO_WPS_MARK_KEY" w:val="530c7263-2aab-4c17-a000-6ca164d7a097"/>
  </w:docVars>
  <w:rsids>
    <w:rsidRoot w:val="00200A62"/>
    <w:rsid w:val="00001652"/>
    <w:rsid w:val="00035490"/>
    <w:rsid w:val="0006236B"/>
    <w:rsid w:val="00062FFB"/>
    <w:rsid w:val="00100330"/>
    <w:rsid w:val="0010775C"/>
    <w:rsid w:val="0012316E"/>
    <w:rsid w:val="0013517C"/>
    <w:rsid w:val="0015523B"/>
    <w:rsid w:val="0017481B"/>
    <w:rsid w:val="00175ED2"/>
    <w:rsid w:val="001A61A1"/>
    <w:rsid w:val="001C4DA7"/>
    <w:rsid w:val="001E7ED2"/>
    <w:rsid w:val="001E7EF5"/>
    <w:rsid w:val="00200A62"/>
    <w:rsid w:val="002119B3"/>
    <w:rsid w:val="00233097"/>
    <w:rsid w:val="002A5F87"/>
    <w:rsid w:val="002B1437"/>
    <w:rsid w:val="002C09A9"/>
    <w:rsid w:val="002E7E89"/>
    <w:rsid w:val="002F01B3"/>
    <w:rsid w:val="002F2159"/>
    <w:rsid w:val="00322592"/>
    <w:rsid w:val="00346349"/>
    <w:rsid w:val="00355629"/>
    <w:rsid w:val="003822B2"/>
    <w:rsid w:val="0038398F"/>
    <w:rsid w:val="003A2F2E"/>
    <w:rsid w:val="003C7C30"/>
    <w:rsid w:val="003D718F"/>
    <w:rsid w:val="003E1DFB"/>
    <w:rsid w:val="003F7DE8"/>
    <w:rsid w:val="00462463"/>
    <w:rsid w:val="00463D8D"/>
    <w:rsid w:val="00473BCB"/>
    <w:rsid w:val="004A0D78"/>
    <w:rsid w:val="004C2F4C"/>
    <w:rsid w:val="00501B59"/>
    <w:rsid w:val="00535BF2"/>
    <w:rsid w:val="00591CAC"/>
    <w:rsid w:val="005A4A16"/>
    <w:rsid w:val="005A6FEC"/>
    <w:rsid w:val="005C7F44"/>
    <w:rsid w:val="005E0774"/>
    <w:rsid w:val="005F11AD"/>
    <w:rsid w:val="0060065F"/>
    <w:rsid w:val="006249A3"/>
    <w:rsid w:val="006921B8"/>
    <w:rsid w:val="006A20A6"/>
    <w:rsid w:val="006B01AD"/>
    <w:rsid w:val="006C6D51"/>
    <w:rsid w:val="006E5023"/>
    <w:rsid w:val="006E537F"/>
    <w:rsid w:val="007114C5"/>
    <w:rsid w:val="007146D9"/>
    <w:rsid w:val="00726A65"/>
    <w:rsid w:val="00727D35"/>
    <w:rsid w:val="00733987"/>
    <w:rsid w:val="00761B24"/>
    <w:rsid w:val="00767D82"/>
    <w:rsid w:val="0077237D"/>
    <w:rsid w:val="00776AD2"/>
    <w:rsid w:val="0079422E"/>
    <w:rsid w:val="007A0E7C"/>
    <w:rsid w:val="007A36A4"/>
    <w:rsid w:val="008433A3"/>
    <w:rsid w:val="008733A3"/>
    <w:rsid w:val="0087726A"/>
    <w:rsid w:val="00885E75"/>
    <w:rsid w:val="00892991"/>
    <w:rsid w:val="009139B2"/>
    <w:rsid w:val="0092199F"/>
    <w:rsid w:val="0092672A"/>
    <w:rsid w:val="009810C2"/>
    <w:rsid w:val="0098126D"/>
    <w:rsid w:val="009941D9"/>
    <w:rsid w:val="009B55F0"/>
    <w:rsid w:val="009F1B30"/>
    <w:rsid w:val="00A017D4"/>
    <w:rsid w:val="00A2091F"/>
    <w:rsid w:val="00A53CE6"/>
    <w:rsid w:val="00A63E76"/>
    <w:rsid w:val="00A75DA0"/>
    <w:rsid w:val="00A83D9D"/>
    <w:rsid w:val="00AA7B3C"/>
    <w:rsid w:val="00AC0074"/>
    <w:rsid w:val="00AC21B4"/>
    <w:rsid w:val="00AD4B8C"/>
    <w:rsid w:val="00AF201E"/>
    <w:rsid w:val="00AF56B3"/>
    <w:rsid w:val="00B2153E"/>
    <w:rsid w:val="00B35204"/>
    <w:rsid w:val="00B405AE"/>
    <w:rsid w:val="00B71408"/>
    <w:rsid w:val="00B9682E"/>
    <w:rsid w:val="00BB45D8"/>
    <w:rsid w:val="00C56837"/>
    <w:rsid w:val="00C93707"/>
    <w:rsid w:val="00C95204"/>
    <w:rsid w:val="00CD78C5"/>
    <w:rsid w:val="00D02897"/>
    <w:rsid w:val="00D17B89"/>
    <w:rsid w:val="00D217E2"/>
    <w:rsid w:val="00D307AD"/>
    <w:rsid w:val="00D826A9"/>
    <w:rsid w:val="00DC062F"/>
    <w:rsid w:val="00E1432A"/>
    <w:rsid w:val="00E27693"/>
    <w:rsid w:val="00E371DB"/>
    <w:rsid w:val="00E95F93"/>
    <w:rsid w:val="00EE1DA2"/>
    <w:rsid w:val="00EE5EED"/>
    <w:rsid w:val="00F01C6B"/>
    <w:rsid w:val="00F302B0"/>
    <w:rsid w:val="00F40C39"/>
    <w:rsid w:val="00F4351E"/>
    <w:rsid w:val="00F513A4"/>
    <w:rsid w:val="01417E18"/>
    <w:rsid w:val="02155544"/>
    <w:rsid w:val="022F565F"/>
    <w:rsid w:val="0236335D"/>
    <w:rsid w:val="02820350"/>
    <w:rsid w:val="02E82CEB"/>
    <w:rsid w:val="036F4F85"/>
    <w:rsid w:val="03C52BEB"/>
    <w:rsid w:val="05C25634"/>
    <w:rsid w:val="05C30BB1"/>
    <w:rsid w:val="06317B70"/>
    <w:rsid w:val="0652734C"/>
    <w:rsid w:val="065501E1"/>
    <w:rsid w:val="06622973"/>
    <w:rsid w:val="069D39AB"/>
    <w:rsid w:val="06B31288"/>
    <w:rsid w:val="06DE46EF"/>
    <w:rsid w:val="0721638A"/>
    <w:rsid w:val="075C5614"/>
    <w:rsid w:val="079C1EB4"/>
    <w:rsid w:val="07AE01F0"/>
    <w:rsid w:val="086229AB"/>
    <w:rsid w:val="091349BB"/>
    <w:rsid w:val="09DD4CAF"/>
    <w:rsid w:val="0A067AB9"/>
    <w:rsid w:val="0A116B8A"/>
    <w:rsid w:val="0A4200E2"/>
    <w:rsid w:val="0A963F90"/>
    <w:rsid w:val="0B147AFF"/>
    <w:rsid w:val="0C79114D"/>
    <w:rsid w:val="0C8D513C"/>
    <w:rsid w:val="0CC63F32"/>
    <w:rsid w:val="0D501777"/>
    <w:rsid w:val="0D921B8B"/>
    <w:rsid w:val="0F59694D"/>
    <w:rsid w:val="108A71B8"/>
    <w:rsid w:val="111A5BF3"/>
    <w:rsid w:val="1222745A"/>
    <w:rsid w:val="126B2BAF"/>
    <w:rsid w:val="130B7EEE"/>
    <w:rsid w:val="1332191F"/>
    <w:rsid w:val="13AF5C21"/>
    <w:rsid w:val="13B81E24"/>
    <w:rsid w:val="13EE3A98"/>
    <w:rsid w:val="14627FE2"/>
    <w:rsid w:val="14A14FAE"/>
    <w:rsid w:val="15791A87"/>
    <w:rsid w:val="15926028"/>
    <w:rsid w:val="15990F94"/>
    <w:rsid w:val="162E0A83"/>
    <w:rsid w:val="167D1103"/>
    <w:rsid w:val="169C3035"/>
    <w:rsid w:val="16AD3807"/>
    <w:rsid w:val="17261283"/>
    <w:rsid w:val="177F5569"/>
    <w:rsid w:val="17E22839"/>
    <w:rsid w:val="18A1732B"/>
    <w:rsid w:val="1AE705B7"/>
    <w:rsid w:val="1CBC5B52"/>
    <w:rsid w:val="1CF71C0F"/>
    <w:rsid w:val="1D3A646D"/>
    <w:rsid w:val="1D403D49"/>
    <w:rsid w:val="1DC15D79"/>
    <w:rsid w:val="1DE507D7"/>
    <w:rsid w:val="1DE65804"/>
    <w:rsid w:val="1E0A5972"/>
    <w:rsid w:val="1E851D1C"/>
    <w:rsid w:val="1F314F03"/>
    <w:rsid w:val="1FBB3E77"/>
    <w:rsid w:val="205C7FDB"/>
    <w:rsid w:val="20EB305C"/>
    <w:rsid w:val="21B856E5"/>
    <w:rsid w:val="21BE2CFB"/>
    <w:rsid w:val="21FC3824"/>
    <w:rsid w:val="22B26AF0"/>
    <w:rsid w:val="22CB58FB"/>
    <w:rsid w:val="233D7A71"/>
    <w:rsid w:val="2342170A"/>
    <w:rsid w:val="23615E8A"/>
    <w:rsid w:val="242D5F16"/>
    <w:rsid w:val="24443260"/>
    <w:rsid w:val="25290C0F"/>
    <w:rsid w:val="279B0BA1"/>
    <w:rsid w:val="27E74416"/>
    <w:rsid w:val="280276BA"/>
    <w:rsid w:val="28292E99"/>
    <w:rsid w:val="28DA4193"/>
    <w:rsid w:val="28E31299"/>
    <w:rsid w:val="297D4B4F"/>
    <w:rsid w:val="298F1A88"/>
    <w:rsid w:val="29A21154"/>
    <w:rsid w:val="2ABC6246"/>
    <w:rsid w:val="2ACB0237"/>
    <w:rsid w:val="2AF37B03"/>
    <w:rsid w:val="2B341A3C"/>
    <w:rsid w:val="2B8C5C18"/>
    <w:rsid w:val="2C9F5373"/>
    <w:rsid w:val="2CD86C3B"/>
    <w:rsid w:val="2CED7F84"/>
    <w:rsid w:val="2D514FCD"/>
    <w:rsid w:val="2D6023B1"/>
    <w:rsid w:val="2D9368C6"/>
    <w:rsid w:val="2DF1705F"/>
    <w:rsid w:val="2E692241"/>
    <w:rsid w:val="2F151735"/>
    <w:rsid w:val="2FCF4325"/>
    <w:rsid w:val="30A34236"/>
    <w:rsid w:val="30CB71E3"/>
    <w:rsid w:val="30D140CD"/>
    <w:rsid w:val="30FD787D"/>
    <w:rsid w:val="321D3A6E"/>
    <w:rsid w:val="323D7C6C"/>
    <w:rsid w:val="32752FAD"/>
    <w:rsid w:val="328A7E4F"/>
    <w:rsid w:val="330D363B"/>
    <w:rsid w:val="33843679"/>
    <w:rsid w:val="33BF2903"/>
    <w:rsid w:val="33EB0E31"/>
    <w:rsid w:val="33F22CD8"/>
    <w:rsid w:val="340B071D"/>
    <w:rsid w:val="34580D8D"/>
    <w:rsid w:val="34F62354"/>
    <w:rsid w:val="36745C27"/>
    <w:rsid w:val="367B7C8F"/>
    <w:rsid w:val="36D87F64"/>
    <w:rsid w:val="37031DE8"/>
    <w:rsid w:val="374071DB"/>
    <w:rsid w:val="375D66BB"/>
    <w:rsid w:val="37B04B3C"/>
    <w:rsid w:val="37D4129F"/>
    <w:rsid w:val="384425B7"/>
    <w:rsid w:val="38C84008"/>
    <w:rsid w:val="39736669"/>
    <w:rsid w:val="39C21D02"/>
    <w:rsid w:val="39C944DB"/>
    <w:rsid w:val="39E15381"/>
    <w:rsid w:val="3A0628C3"/>
    <w:rsid w:val="3A8D057D"/>
    <w:rsid w:val="3B443E1A"/>
    <w:rsid w:val="3B871F58"/>
    <w:rsid w:val="3BB16FD5"/>
    <w:rsid w:val="3BB625B2"/>
    <w:rsid w:val="3C0B0DDB"/>
    <w:rsid w:val="3C3F6133"/>
    <w:rsid w:val="3CAD59EE"/>
    <w:rsid w:val="3D0E5556"/>
    <w:rsid w:val="3D3879AE"/>
    <w:rsid w:val="3DCF52BF"/>
    <w:rsid w:val="3DE95683"/>
    <w:rsid w:val="3DF53AF1"/>
    <w:rsid w:val="3E185EB9"/>
    <w:rsid w:val="3E8218B2"/>
    <w:rsid w:val="3E970CEA"/>
    <w:rsid w:val="3F1A7289"/>
    <w:rsid w:val="3F450269"/>
    <w:rsid w:val="3F4765A8"/>
    <w:rsid w:val="401E041B"/>
    <w:rsid w:val="40BB550E"/>
    <w:rsid w:val="40C17CBA"/>
    <w:rsid w:val="414370AE"/>
    <w:rsid w:val="41774C8D"/>
    <w:rsid w:val="418036D2"/>
    <w:rsid w:val="41962EF5"/>
    <w:rsid w:val="42117F51"/>
    <w:rsid w:val="43432C09"/>
    <w:rsid w:val="434C41B3"/>
    <w:rsid w:val="43F6411F"/>
    <w:rsid w:val="44B80C5D"/>
    <w:rsid w:val="44C80470"/>
    <w:rsid w:val="453F1647"/>
    <w:rsid w:val="45E06E35"/>
    <w:rsid w:val="462C207A"/>
    <w:rsid w:val="46307118"/>
    <w:rsid w:val="46D7175B"/>
    <w:rsid w:val="46E62229"/>
    <w:rsid w:val="474225B0"/>
    <w:rsid w:val="47555600"/>
    <w:rsid w:val="47A365F9"/>
    <w:rsid w:val="47A87A7E"/>
    <w:rsid w:val="48DA3415"/>
    <w:rsid w:val="48E704DA"/>
    <w:rsid w:val="4921579A"/>
    <w:rsid w:val="493D00FA"/>
    <w:rsid w:val="49425710"/>
    <w:rsid w:val="499A1A20"/>
    <w:rsid w:val="499D6A4B"/>
    <w:rsid w:val="49A94ADD"/>
    <w:rsid w:val="49F26522"/>
    <w:rsid w:val="4A100B71"/>
    <w:rsid w:val="4A39481E"/>
    <w:rsid w:val="4B0233A9"/>
    <w:rsid w:val="4B052E99"/>
    <w:rsid w:val="4B38326F"/>
    <w:rsid w:val="4B473D7B"/>
    <w:rsid w:val="4B7D6ED4"/>
    <w:rsid w:val="4BFD6BB7"/>
    <w:rsid w:val="4C59349D"/>
    <w:rsid w:val="4C687790"/>
    <w:rsid w:val="4CD62D3F"/>
    <w:rsid w:val="4CF17B79"/>
    <w:rsid w:val="4DD76D6F"/>
    <w:rsid w:val="4E74636C"/>
    <w:rsid w:val="4F461E2F"/>
    <w:rsid w:val="4FE24618"/>
    <w:rsid w:val="4FED4628"/>
    <w:rsid w:val="50456AA8"/>
    <w:rsid w:val="50855C6C"/>
    <w:rsid w:val="509B4084"/>
    <w:rsid w:val="50B462AE"/>
    <w:rsid w:val="511856D5"/>
    <w:rsid w:val="51472979"/>
    <w:rsid w:val="51CA6C92"/>
    <w:rsid w:val="526811D1"/>
    <w:rsid w:val="52AB2578"/>
    <w:rsid w:val="54176117"/>
    <w:rsid w:val="54260108"/>
    <w:rsid w:val="55911EF9"/>
    <w:rsid w:val="55D017E1"/>
    <w:rsid w:val="566273F2"/>
    <w:rsid w:val="56AD68BF"/>
    <w:rsid w:val="56BB6A8A"/>
    <w:rsid w:val="56CC49DE"/>
    <w:rsid w:val="56E00B28"/>
    <w:rsid w:val="56E0560F"/>
    <w:rsid w:val="570010E5"/>
    <w:rsid w:val="583575F2"/>
    <w:rsid w:val="586C6306"/>
    <w:rsid w:val="59F9006D"/>
    <w:rsid w:val="5A7A2F5C"/>
    <w:rsid w:val="5AFE1B79"/>
    <w:rsid w:val="5BAB12BF"/>
    <w:rsid w:val="5C4B6AD9"/>
    <w:rsid w:val="5CB47EEE"/>
    <w:rsid w:val="5CDB110D"/>
    <w:rsid w:val="5CF23E72"/>
    <w:rsid w:val="5D3C7DF7"/>
    <w:rsid w:val="5E0019CA"/>
    <w:rsid w:val="5E5D6E1D"/>
    <w:rsid w:val="5EB65AE3"/>
    <w:rsid w:val="5EDC6882"/>
    <w:rsid w:val="5EFC6636"/>
    <w:rsid w:val="5FA840C8"/>
    <w:rsid w:val="5FBA3DFB"/>
    <w:rsid w:val="5FCB4149"/>
    <w:rsid w:val="5FD161CC"/>
    <w:rsid w:val="60147C0F"/>
    <w:rsid w:val="605E6E7C"/>
    <w:rsid w:val="608976F1"/>
    <w:rsid w:val="60CD2A85"/>
    <w:rsid w:val="60CE5DB0"/>
    <w:rsid w:val="61265BEC"/>
    <w:rsid w:val="61412A26"/>
    <w:rsid w:val="61C37261"/>
    <w:rsid w:val="61E91312"/>
    <w:rsid w:val="62137FEA"/>
    <w:rsid w:val="62595B4D"/>
    <w:rsid w:val="625B180A"/>
    <w:rsid w:val="625B7B17"/>
    <w:rsid w:val="62C933CA"/>
    <w:rsid w:val="640D40A6"/>
    <w:rsid w:val="6417181C"/>
    <w:rsid w:val="64430278"/>
    <w:rsid w:val="648844C8"/>
    <w:rsid w:val="64B22AD6"/>
    <w:rsid w:val="654943D9"/>
    <w:rsid w:val="654E339F"/>
    <w:rsid w:val="655F16CC"/>
    <w:rsid w:val="65670581"/>
    <w:rsid w:val="656E3A92"/>
    <w:rsid w:val="658E1FB1"/>
    <w:rsid w:val="65E61A42"/>
    <w:rsid w:val="662F5543"/>
    <w:rsid w:val="667C6C09"/>
    <w:rsid w:val="66F928BE"/>
    <w:rsid w:val="670B339A"/>
    <w:rsid w:val="67895317"/>
    <w:rsid w:val="68D51CA5"/>
    <w:rsid w:val="69C266CE"/>
    <w:rsid w:val="6A8C296E"/>
    <w:rsid w:val="6A9040D6"/>
    <w:rsid w:val="6AF77353"/>
    <w:rsid w:val="6B3233DF"/>
    <w:rsid w:val="6BA37E39"/>
    <w:rsid w:val="6C7A6DEC"/>
    <w:rsid w:val="6CB16611"/>
    <w:rsid w:val="6D6B5C98"/>
    <w:rsid w:val="6E1D0376"/>
    <w:rsid w:val="6E3B3977"/>
    <w:rsid w:val="6E460815"/>
    <w:rsid w:val="6E884FBD"/>
    <w:rsid w:val="6EA463A2"/>
    <w:rsid w:val="6F046E40"/>
    <w:rsid w:val="6F6F58B2"/>
    <w:rsid w:val="6F822C6F"/>
    <w:rsid w:val="71A843FB"/>
    <w:rsid w:val="728A3AB6"/>
    <w:rsid w:val="72AA7D31"/>
    <w:rsid w:val="72B60380"/>
    <w:rsid w:val="72DF37DC"/>
    <w:rsid w:val="73426189"/>
    <w:rsid w:val="74104D5B"/>
    <w:rsid w:val="74A7099A"/>
    <w:rsid w:val="74F529AC"/>
    <w:rsid w:val="7574384A"/>
    <w:rsid w:val="766308F1"/>
    <w:rsid w:val="766F3739"/>
    <w:rsid w:val="76B455F0"/>
    <w:rsid w:val="76E00193"/>
    <w:rsid w:val="77620166"/>
    <w:rsid w:val="776911AB"/>
    <w:rsid w:val="77F9150C"/>
    <w:rsid w:val="78762B5D"/>
    <w:rsid w:val="78E15231"/>
    <w:rsid w:val="790046BB"/>
    <w:rsid w:val="790E7239"/>
    <w:rsid w:val="792F0F5E"/>
    <w:rsid w:val="793C3BEF"/>
    <w:rsid w:val="79711576"/>
    <w:rsid w:val="7A3525A4"/>
    <w:rsid w:val="7A7E4972"/>
    <w:rsid w:val="7AF67F85"/>
    <w:rsid w:val="7B333512"/>
    <w:rsid w:val="7B4E7DC1"/>
    <w:rsid w:val="7B607AF4"/>
    <w:rsid w:val="7B762E74"/>
    <w:rsid w:val="7B7F7B4B"/>
    <w:rsid w:val="7BC31C46"/>
    <w:rsid w:val="7C4A47A6"/>
    <w:rsid w:val="7C830E0A"/>
    <w:rsid w:val="7CD22A9C"/>
    <w:rsid w:val="7CD40803"/>
    <w:rsid w:val="7D20753B"/>
    <w:rsid w:val="7D276B1C"/>
    <w:rsid w:val="7E026C41"/>
    <w:rsid w:val="7E346061"/>
    <w:rsid w:val="7F04038A"/>
    <w:rsid w:val="7F266502"/>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sz w:val="18"/>
      <w:szCs w:val="18"/>
    </w:rPr>
  </w:style>
  <w:style w:type="character" w:customStyle="1" w:styleId="11">
    <w:name w:val="font51"/>
    <w:basedOn w:val="6"/>
    <w:qFormat/>
    <w:uiPriority w:val="0"/>
    <w:rPr>
      <w:rFonts w:hint="eastAsia" w:ascii="宋体" w:hAnsi="宋体" w:eastAsia="宋体" w:cs="宋体"/>
      <w:color w:val="000000"/>
      <w:sz w:val="16"/>
      <w:szCs w:val="16"/>
      <w:u w:val="none"/>
    </w:rPr>
  </w:style>
  <w:style w:type="character" w:customStyle="1" w:styleId="12">
    <w:name w:val="font11"/>
    <w:basedOn w:val="6"/>
    <w:qFormat/>
    <w:uiPriority w:val="0"/>
    <w:rPr>
      <w:rFonts w:hint="eastAsia" w:ascii="方正仿宋_GBK" w:hAnsi="方正仿宋_GBK" w:eastAsia="方正仿宋_GBK" w:cs="方正仿宋_GBK"/>
      <w:color w:val="FF0000"/>
      <w:sz w:val="24"/>
      <w:szCs w:val="24"/>
      <w:u w:val="none"/>
    </w:rPr>
  </w:style>
  <w:style w:type="character" w:customStyle="1" w:styleId="13">
    <w:name w:val="font21"/>
    <w:basedOn w:val="6"/>
    <w:qFormat/>
    <w:uiPriority w:val="0"/>
    <w:rPr>
      <w:rFonts w:hint="eastAsia" w:ascii="方正仿宋_GBK" w:hAnsi="方正仿宋_GBK" w:eastAsia="方正仿宋_GBK" w:cs="方正仿宋_GBK"/>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4497</Words>
  <Characters>4849</Characters>
  <Lines>119</Lines>
  <Paragraphs>33</Paragraphs>
  <TotalTime>10</TotalTime>
  <ScaleCrop>false</ScaleCrop>
  <LinksUpToDate>false</LinksUpToDate>
  <CharactersWithSpaces>4853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2023-10-11T09:28:00Z</dcterms:created>
  <dc:creator>Zhou</dc:creator>
  <cp:lastModifiedBy>张恪</cp:lastModifiedBy>
  <cp:lastPrinted>2024-06-27T01:54:00Z</cp:lastPrinted>
  <dcterms:modified xsi:type="dcterms:W3CDTF">2025-09-12T13:27:18Z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A05ACF6933DE4134B68479ECA358AFE9_12</vt:lpwstr>
  </property>
  <property fmtid="{D5CDD505-2E9C-101B-9397-08002B2CF9AE}" pid="4" name="KSOTemplateDocerSaveRecord">
    <vt:lpwstr>eyJoZGlkIjoiNWE3ZmIxOWQ0ZmM3NmY3YzZiNjIzODc5Y2ZiMmVjODQiLCJ1c2VySWQiOiIxNDg4MTY3ODQzIn0=</vt:lpwstr>
  </property>
</Properties>
</file>